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99.jpg" ContentType="image/jpeg"/>
  <Override PartName="/word/media/rId81.jpg" ContentType="image/jpeg"/>
  <Override PartName="/word/media/rId63.png" ContentType="image/png"/>
  <Override PartName="/word/media/rId35.png" ContentType="image/png"/>
  <Override PartName="/word/media/rId75.png" ContentType="image/png"/>
  <Override PartName="/word/media/rId30.png" ContentType="image/png"/>
  <Override PartName="/word/media/rId59.png" ContentType="image/png"/>
  <Override PartName="/word/media/rId39.png" ContentType="image/png"/>
  <Override PartName="/word/media/rId44.png" ContentType="image/png"/>
  <Override PartName="/word/media/rId90.jpg" ContentType="image/jpeg"/>
  <Override PartName="/word/media/rId86.jpg" ContentType="image/jpeg"/>
  <Override PartName="/word/media/rId95.png" ContentType="image/png"/>
  <Override PartName="/word/media/rId2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Word</w:t>
      </w:r>
      <w:r>
        <w:t xml:space="preserve"> </w:t>
      </w:r>
      <w:r>
        <w:t xml:space="preserve">vs. Latex</w:t>
      </w:r>
      <w:r>
        <w:t xml:space="preserve"> </w:t>
      </w:r>
      <w:r>
        <w:t xml:space="preserve">vs. Markdown</w:t>
      </w:r>
    </w:p>
    <w:p>
      <w:pPr>
        <w:pStyle w:val="Subtitle"/>
      </w:pPr>
      <w:r>
        <w:t xml:space="preserve">Was</w:t>
      </w:r>
      <w:r>
        <w:t xml:space="preserve"> </w:t>
      </w:r>
      <w:r>
        <w:t xml:space="preserve">ist</w:t>
      </w:r>
      <w:r>
        <w:t xml:space="preserve"> </w:t>
      </w:r>
      <w:r>
        <w:t xml:space="preserve">LaTeX?</w:t>
      </w:r>
      <w:r>
        <w:t xml:space="preserve"> </w:t>
      </w:r>
      <w:r>
        <w:t xml:space="preserve">Nützt</w:t>
      </w:r>
      <w:r>
        <w:t xml:space="preserve"> </w:t>
      </w:r>
      <w:r>
        <w:t xml:space="preserve">es</w:t>
      </w:r>
      <w:r>
        <w:t xml:space="preserve"> </w:t>
      </w:r>
      <w:r>
        <w:t xml:space="preserve">mir?</w:t>
      </w:r>
      <w:r>
        <w:t xml:space="preserve"> </w:t>
      </w:r>
      <w:r>
        <w:t xml:space="preserve">Falls</w:t>
      </w:r>
      <w:r>
        <w:t xml:space="preserve"> </w:t>
      </w:r>
      <w:r>
        <w:t xml:space="preserve">ja,</w:t>
      </w:r>
      <w:r>
        <w:t xml:space="preserve"> </w:t>
      </w:r>
      <w:r>
        <w:t xml:space="preserve">wie</w:t>
      </w:r>
      <w:r>
        <w:t xml:space="preserve"> </w:t>
      </w:r>
      <w:r>
        <w:t xml:space="preserve">bediene</w:t>
      </w:r>
      <w:r>
        <w:t xml:space="preserve"> </w:t>
      </w:r>
      <w:r>
        <w:t xml:space="preserve">ich</w:t>
      </w:r>
      <w:r>
        <w:t xml:space="preserve"> </w:t>
      </w:r>
      <w:r>
        <w:t xml:space="preserve">es?</w:t>
      </w:r>
    </w:p>
    <w:p>
      <w:pPr>
        <w:pStyle w:val="Author"/>
      </w:pPr>
      <w:hyperlink r:id="rId20">
        <w:r>
          <w:rPr>
            <w:rStyle w:val="Hyperlink"/>
          </w:rPr>
          <w:t xml:space="preserve">Enno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Nagel</w:t>
        </w:r>
      </w:hyperlink>
    </w:p>
    <w:p>
      <w:pPr>
        <w:pStyle w:val="Date"/>
      </w:pPr>
      <w:r>
        <w:t xml:space="preserve">Düsseldorf</w:t>
      </w:r>
      <w:r>
        <w:t xml:space="preserve"> </w:t>
      </w:r>
      <w:r>
        <w:t xml:space="preserve">—</w:t>
      </w:r>
      <w:r>
        <w:t xml:space="preserve"> </w:t>
      </w:r>
      <w:r>
        <w:t xml:space="preserve">20.</w:t>
      </w:r>
      <w:r>
        <w:t xml:space="preserve"> </w:t>
      </w:r>
      <w:r>
        <w:t xml:space="preserve">April</w:t>
      </w:r>
      <w:r>
        <w:t xml:space="preserve"> </w:t>
      </w:r>
      <w:r>
        <w:t xml:space="preserve">2023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t xml:space="preserve">Table of Contents</w:t>
          </w:r>
        </w:p>
        <w:p>
          <w:r>
            <w:fldChar w:fldCharType="begin" w:dirty="true"/>
            <w:instrText xml:space="preserve">TOC \o "1-3" \h \z \u</w:instrText>
            <w:fldChar w:fldCharType="separate"/>
            <w:fldChar w:fldCharType="end"/>
          </w:r>
        </w:p>
      </w:sdtContent>
    </w:sdt>
    <w:bookmarkStart w:id="24" w:name="section"/>
    <w:p>
      <w:pPr>
        <w:pStyle w:val="Heading2"/>
      </w:pPr>
    </w:p>
    <w:p>
      <w:pPr>
        <w:pStyle w:val="CaptionedFigure"/>
      </w:pPr>
      <w:r>
        <w:drawing>
          <wp:inline>
            <wp:extent cx="5334000" cy="2795580"/>
            <wp:effectExtent b="0" l="0" r="0" t="0"/>
            <wp:docPr descr="Die Textverarbeitung Microsoft Word" title="" id="22" name="Picture"/>
            <a:graphic>
              <a:graphicData uri="http://schemas.openxmlformats.org/drawingml/2006/picture">
                <pic:pic>
                  <pic:nvPicPr>
                    <pic:cNvPr descr="./images/word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955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Die Textverarbeitung Microsoft Word</w:t>
      </w:r>
    </w:p>
    <w:bookmarkEnd w:id="24"/>
    <w:bookmarkStart w:id="25" w:name="section-1"/>
    <w:p>
      <w:pPr>
        <w:pStyle w:val="Heading2"/>
      </w:pPr>
    </w:p>
    <w:p>
      <w:pPr>
        <w:pStyle w:val="FirstParagraph"/>
      </w:pPr>
      <w:r>
        <w:t xml:space="preserve">Um ein Dokument mit dem Inhalt</w:t>
      </w:r>
      <w:r>
        <w:t xml:space="preserve"> </w:t>
      </w:r>
      <w:r>
        <w:rPr>
          <w:rStyle w:val="VerbatimChar"/>
        </w:rPr>
        <w:t xml:space="preserve">Guten Morgen!</w:t>
      </w:r>
      <w:r>
        <w:t xml:space="preserve"> </w:t>
      </w:r>
      <w:r>
        <w:t xml:space="preserve">mit</w:t>
      </w:r>
      <w:r>
        <w:t xml:space="preserve"> </w:t>
      </w:r>
      <w:r>
        <w:rPr>
          <w:rStyle w:val="VerbatimChar"/>
        </w:rPr>
        <w:t xml:space="preserve">Word</w:t>
      </w:r>
      <w:r>
        <w:t xml:space="preserve"> </w:t>
      </w:r>
      <w:r>
        <w:t xml:space="preserve">zu erstellen:</w:t>
      </w:r>
    </w:p>
    <w:p>
      <w:pPr>
        <w:numPr>
          <w:ilvl w:val="0"/>
          <w:numId w:val="1001"/>
        </w:numPr>
        <w:pStyle w:val="Compact"/>
      </w:pPr>
      <w:r>
        <w:t xml:space="preserve">Öffne ein leeres Dokument,</w:t>
      </w:r>
    </w:p>
    <w:p>
      <w:pPr>
        <w:numPr>
          <w:ilvl w:val="0"/>
          <w:numId w:val="1001"/>
        </w:numPr>
        <w:pStyle w:val="Compact"/>
      </w:pPr>
      <w:r>
        <w:t xml:space="preserve">Tipp</w:t>
      </w:r>
      <w:r>
        <w:t xml:space="preserve"> </w:t>
      </w:r>
      <w:r>
        <w:rPr>
          <w:rStyle w:val="VerbatimChar"/>
        </w:rPr>
        <w:t xml:space="preserve">Guten Morgen!</w:t>
      </w:r>
      <w:r>
        <w:t xml:space="preserve">, und</w:t>
      </w:r>
    </w:p>
    <w:p>
      <w:pPr>
        <w:numPr>
          <w:ilvl w:val="0"/>
          <w:numId w:val="1001"/>
        </w:numPr>
        <w:pStyle w:val="Compact"/>
      </w:pPr>
      <w:r>
        <w:t xml:space="preserve">Speicher es!</w:t>
      </w:r>
    </w:p>
    <w:p>
      <w:pPr>
        <w:pStyle w:val="FirstParagraph"/>
      </w:pPr>
      <w:r>
        <w:t xml:space="preserve">Um ein Dokument mit der Aufschrift</w:t>
      </w:r>
      <w:r>
        <w:t xml:space="preserve"> </w:t>
      </w:r>
      <w:r>
        <w:t xml:space="preserve">“</w:t>
      </w:r>
      <w:r>
        <w:t xml:space="preserve">Guten Morgen</w:t>
      </w:r>
      <w:r>
        <w:t xml:space="preserve">”</w:t>
      </w:r>
      <w:r>
        <w:t xml:space="preserve"> </w:t>
      </w:r>
      <w:r>
        <w:t xml:space="preserve">mit LaTeX zu erstellen:</w:t>
      </w:r>
    </w:p>
    <w:p>
      <w:pPr>
        <w:numPr>
          <w:ilvl w:val="0"/>
          <w:numId w:val="1002"/>
        </w:numPr>
      </w:pPr>
      <w:r>
        <w:t xml:space="preserve">Öffne eine leere Datei in</w:t>
      </w:r>
      <w:r>
        <w:t xml:space="preserve"> </w:t>
      </w:r>
      <w:r>
        <w:rPr>
          <w:rStyle w:val="VerbatimChar"/>
        </w:rPr>
        <w:t xml:space="preserve">TeXstudio</w:t>
      </w:r>
      <w:r>
        <w:t xml:space="preserve">,</w:t>
      </w:r>
      <w:r>
        <w:t xml:space="preserve"> </w:t>
      </w:r>
      <w:r>
        <w:rPr>
          <w:rStyle w:val="VerbatimChar"/>
        </w:rPr>
        <w:t xml:space="preserve">Vim</w:t>
      </w:r>
      <w:r>
        <w:t xml:space="preserve">,</w:t>
      </w:r>
      <w:r>
        <w:t xml:space="preserve"> </w:t>
      </w:r>
      <w:r>
        <w:rPr>
          <w:rStyle w:val="VerbatimChar"/>
        </w:rPr>
        <w:t xml:space="preserve">Emacs</w:t>
      </w:r>
      <w:r>
        <w:t xml:space="preserve">, …</w:t>
      </w:r>
    </w:p>
    <w:p>
      <w:pPr>
        <w:numPr>
          <w:ilvl w:val="0"/>
          <w:numId w:val="1002"/>
        </w:numPr>
      </w:pPr>
      <w:r>
        <w:t xml:space="preserve">Tippe</w:t>
      </w:r>
    </w:p>
    <w:p>
      <w:pPr>
        <w:numPr>
          <w:ilvl w:val="0"/>
          <w:numId w:val="1000"/>
        </w:numPr>
        <w:pStyle w:val="SourceCode"/>
      </w:pPr>
      <w:r>
        <w:rPr>
          <w:rStyle w:val="BuiltInTok"/>
        </w:rPr>
        <w:t xml:space="preserve">\documentclass</w:t>
      </w:r>
      <w:r>
        <w:rPr>
          <w:rStyle w:val="NormalTok"/>
        </w:rPr>
        <w:t xml:space="preserve">{</w:t>
      </w:r>
      <w:r>
        <w:rPr>
          <w:rStyle w:val="ExtensionTok"/>
        </w:rPr>
        <w:t xml:space="preserve">article</w:t>
      </w:r>
      <w:r>
        <w:rPr>
          <w:rStyle w:val="NormalTok"/>
        </w:rPr>
        <w:t xml:space="preserve">}</w:t>
      </w:r>
      <w:r>
        <w:br/>
      </w:r>
      <w:r>
        <w:rPr>
          <w:rStyle w:val="KeywordTok"/>
        </w:rPr>
        <w:t xml:space="preserve">\begin</w:t>
      </w:r>
      <w:r>
        <w:rPr>
          <w:rStyle w:val="NormalTok"/>
        </w:rPr>
        <w:t xml:space="preserve">{</w:t>
      </w:r>
      <w:r>
        <w:rPr>
          <w:rStyle w:val="ExtensionTok"/>
        </w:rPr>
        <w:t xml:space="preserve">document</w:t>
      </w:r>
      <w:r>
        <w:rPr>
          <w:rStyle w:val="NormalTok"/>
        </w:rPr>
        <w:t xml:space="preserve">}</w:t>
      </w:r>
      <w:r>
        <w:br/>
      </w:r>
      <w:r>
        <w:rPr>
          <w:rStyle w:val="NormalTok"/>
        </w:rPr>
        <w:t xml:space="preserve">    Guten Morgen!</w:t>
      </w:r>
      <w:r>
        <w:br/>
      </w:r>
      <w:r>
        <w:rPr>
          <w:rStyle w:val="KeywordTok"/>
        </w:rPr>
        <w:t xml:space="preserve">\end</w:t>
      </w:r>
      <w:r>
        <w:rPr>
          <w:rStyle w:val="NormalTok"/>
        </w:rPr>
        <w:t xml:space="preserve">{</w:t>
      </w:r>
      <w:r>
        <w:rPr>
          <w:rStyle w:val="ExtensionTok"/>
        </w:rPr>
        <w:t xml:space="preserve">document</w:t>
      </w:r>
      <w:r>
        <w:rPr>
          <w:rStyle w:val="NormalTok"/>
        </w:rPr>
        <w:t xml:space="preserve">}</w:t>
      </w:r>
    </w:p>
    <w:p>
      <w:pPr>
        <w:numPr>
          <w:ilvl w:val="0"/>
          <w:numId w:val="1002"/>
        </w:numPr>
      </w:pPr>
      <w:r>
        <w:t xml:space="preserve">Kompilier sie!</w:t>
      </w:r>
    </w:p>
    <w:bookmarkEnd w:id="25"/>
    <w:bookmarkStart w:id="26" w:name="vorteile-textverarbeitung"/>
    <w:p>
      <w:pPr>
        <w:pStyle w:val="Heading2"/>
      </w:pPr>
      <w:r>
        <w:t xml:space="preserve">Vorteile Textverarbeitung:</w:t>
      </w:r>
    </w:p>
    <w:p>
      <w:pPr>
        <w:numPr>
          <w:ilvl w:val="0"/>
          <w:numId w:val="1003"/>
        </w:numPr>
      </w:pPr>
      <w:r>
        <w:rPr>
          <w:rStyle w:val="VerbatimChar"/>
        </w:rPr>
        <w:t xml:space="preserve">WYSIWYG</w:t>
      </w:r>
      <w:r>
        <w:t xml:space="preserve"> </w:t>
      </w:r>
      <w:r>
        <w:t xml:space="preserve">(=</w:t>
      </w:r>
      <w:r>
        <w:t xml:space="preserve"> </w:t>
      </w:r>
      <w:r>
        <w:t xml:space="preserve">“</w:t>
      </w:r>
      <w:r>
        <w:t xml:space="preserve">What you see is what you get</w:t>
      </w:r>
      <w:r>
        <w:t xml:space="preserve">”</w:t>
      </w:r>
      <w:r>
        <w:t xml:space="preserve">):</w:t>
      </w:r>
      <w:r>
        <w:t xml:space="preserve"> </w:t>
      </w:r>
      <w:r>
        <w:t xml:space="preserve">Das formatierte Dokument sieht aus wie das geschriebene Dokument.</w:t>
      </w:r>
    </w:p>
    <w:p>
      <w:pPr>
        <w:numPr>
          <w:ilvl w:val="0"/>
          <w:numId w:val="1003"/>
        </w:numPr>
      </w:pPr>
      <w:r>
        <w:t xml:space="preserve">Drag &amp; Drop, d.h.,</w:t>
      </w:r>
      <w:r>
        <w:t xml:space="preserve"> </w:t>
      </w:r>
      <w:r>
        <w:rPr>
          <w:bCs/>
          <w:b/>
        </w:rPr>
        <w:t xml:space="preserve">Intuitiv</w:t>
      </w:r>
      <w:r>
        <w:t xml:space="preserve"> </w:t>
      </w:r>
      <w:r>
        <w:t xml:space="preserve">ein Bild in die Textverarbeitung einfügen und betrachten.</w:t>
      </w:r>
    </w:p>
    <w:p>
      <w:pPr>
        <w:numPr>
          <w:ilvl w:val="0"/>
          <w:numId w:val="1003"/>
        </w:numPr>
      </w:pPr>
      <w:r>
        <w:rPr>
          <w:bCs/>
          <w:b/>
        </w:rPr>
        <w:t xml:space="preserve">Standard:</w:t>
      </w:r>
    </w:p>
    <w:p>
      <w:pPr>
        <w:numPr>
          <w:ilvl w:val="1"/>
          <w:numId w:val="1004"/>
        </w:numPr>
        <w:pStyle w:val="Compact"/>
      </w:pPr>
      <w:r>
        <w:t xml:space="preserve">Einfacher Austausch von Dokumenten mit anderen, da jeder</w:t>
      </w:r>
      <w:r>
        <w:t xml:space="preserve"> </w:t>
      </w:r>
      <w:r>
        <w:rPr>
          <w:rStyle w:val="VerbatimChar"/>
        </w:rPr>
        <w:t xml:space="preserve">Word</w:t>
      </w:r>
      <w:r>
        <w:t xml:space="preserve"> </w:t>
      </w:r>
      <w:r>
        <w:t xml:space="preserve">kennt.</w:t>
      </w:r>
    </w:p>
    <w:p>
      <w:pPr>
        <w:numPr>
          <w:ilvl w:val="1"/>
          <w:numId w:val="1004"/>
        </w:numPr>
        <w:pStyle w:val="Compact"/>
      </w:pPr>
      <w:r>
        <w:t xml:space="preserve">Zeitschriften, zum Beispiel der Biologie, Institutionen, … akzeptieren nur Dokumente in</w:t>
      </w:r>
      <w:r>
        <w:t xml:space="preserve"> </w:t>
      </w:r>
      <w:r>
        <w:rPr>
          <w:rStyle w:val="VerbatimChar"/>
        </w:rPr>
        <w:t xml:space="preserve">Word</w:t>
      </w:r>
    </w:p>
    <w:bookmarkEnd w:id="26"/>
    <w:bookmarkStart w:id="27" w:name="nachteile-auszeichnungssprache"/>
    <w:p>
      <w:pPr>
        <w:pStyle w:val="Heading2"/>
      </w:pPr>
      <w:r>
        <w:t xml:space="preserve">Nachteile Auszeichnungssprache:</w:t>
      </w:r>
    </w:p>
    <w:p>
      <w:pPr>
        <w:numPr>
          <w:ilvl w:val="0"/>
          <w:numId w:val="1005"/>
        </w:numPr>
        <w:pStyle w:val="Compact"/>
      </w:pPr>
      <w:r>
        <w:t xml:space="preserve">Komplexer und</w:t>
      </w:r>
      <w:r>
        <w:t xml:space="preserve"> </w:t>
      </w:r>
      <w:r>
        <w:rPr>
          <w:bCs/>
          <w:b/>
        </w:rPr>
        <w:t xml:space="preserve">ungewohnter</w:t>
      </w:r>
      <w:r>
        <w:t xml:space="preserve"> </w:t>
      </w:r>
      <w:r>
        <w:t xml:space="preserve">Einstieg:</w:t>
      </w:r>
      <w:r>
        <w:t xml:space="preserve"> </w:t>
      </w:r>
      <w:r>
        <w:t xml:space="preserve">Benötigt einen Editor, eine Vorlagedatei mit Code und Kompilation dieser.</w:t>
      </w:r>
    </w:p>
    <w:p>
      <w:pPr>
        <w:numPr>
          <w:ilvl w:val="0"/>
          <w:numId w:val="1005"/>
        </w:numPr>
        <w:pStyle w:val="Compact"/>
      </w:pPr>
      <w:r>
        <w:t xml:space="preserve">Ähnelt dem</w:t>
      </w:r>
      <w:r>
        <w:t xml:space="preserve"> </w:t>
      </w:r>
      <w:r>
        <w:rPr>
          <w:bCs/>
          <w:b/>
        </w:rPr>
        <w:t xml:space="preserve">Programmieren:</w:t>
      </w:r>
      <w:r>
        <w:t xml:space="preserve"> </w:t>
      </w:r>
      <w:r>
        <w:t xml:space="preserve">Man muss die Auszeichnungssprache beherrschen und kann (viele und undurchschaubare) Kompilierungsfehler bekommen (weil man z.B. eine Klammer vergessen hat).</w:t>
      </w:r>
    </w:p>
    <w:p>
      <w:pPr>
        <w:numPr>
          <w:ilvl w:val="0"/>
          <w:numId w:val="1005"/>
        </w:numPr>
        <w:pStyle w:val="Compact"/>
      </w:pPr>
      <w:r>
        <w:rPr>
          <w:bCs/>
          <w:b/>
        </w:rPr>
        <w:t xml:space="preserve">Starre Formatierung:</w:t>
      </w:r>
      <w:r>
        <w:t xml:space="preserve"> </w:t>
      </w:r>
      <w:r>
        <w:t xml:space="preserve">Viele Formatierungen, z.B. Überschriften, sind schwer abänderbar, um ihre Harmonie zu gewährleisten.</w:t>
      </w:r>
    </w:p>
    <w:p>
      <w:pPr>
        <w:numPr>
          <w:ilvl w:val="0"/>
          <w:numId w:val="1005"/>
        </w:numPr>
        <w:pStyle w:val="Compact"/>
      </w:pPr>
      <w:r>
        <w:rPr>
          <w:bCs/>
          <w:b/>
        </w:rPr>
        <w:t xml:space="preserve">Isolation:</w:t>
      </w:r>
      <w:r>
        <w:t xml:space="preserve"> </w:t>
      </w:r>
      <w:r>
        <w:t xml:space="preserve">Es ist schwierig, Dokumente mit anderen zu teilen, da nur wenige LaTeX beherrschen.</w:t>
      </w:r>
    </w:p>
    <w:bookmarkEnd w:id="27"/>
    <w:bookmarkStart w:id="28" w:name="vorteile-auszeichnungssprache"/>
    <w:p>
      <w:pPr>
        <w:pStyle w:val="Heading2"/>
      </w:pPr>
      <w:r>
        <w:t xml:space="preserve">Vorteile Auszeichnungssprache:</w:t>
      </w:r>
    </w:p>
    <w:p>
      <w:pPr>
        <w:numPr>
          <w:ilvl w:val="0"/>
          <w:numId w:val="1006"/>
        </w:numPr>
        <w:pStyle w:val="Compact"/>
      </w:pPr>
      <w:r>
        <w:t xml:space="preserve">Erscheinungsbild:</w:t>
      </w:r>
    </w:p>
    <w:p>
      <w:pPr>
        <w:numPr>
          <w:ilvl w:val="1"/>
          <w:numId w:val="1007"/>
        </w:numPr>
        <w:pStyle w:val="Compact"/>
      </w:pPr>
      <w:r>
        <w:rPr>
          <w:bCs/>
          <w:b/>
        </w:rPr>
        <w:t xml:space="preserve">überlegene Formatierung</w:t>
      </w:r>
    </w:p>
    <w:p>
      <w:pPr>
        <w:numPr>
          <w:ilvl w:val="0"/>
          <w:numId w:val="1006"/>
        </w:numPr>
        <w:pStyle w:val="Compact"/>
      </w:pPr>
      <w:r>
        <w:t xml:space="preserve">Verwaltung:</w:t>
      </w:r>
    </w:p>
    <w:p>
      <w:pPr>
        <w:numPr>
          <w:ilvl w:val="1"/>
          <w:numId w:val="1008"/>
        </w:numPr>
        <w:pStyle w:val="Compact"/>
      </w:pPr>
      <w:r>
        <w:t xml:space="preserve">Referenzen erstellen, verwalten und zitieren,</w:t>
      </w:r>
    </w:p>
    <w:p>
      <w:pPr>
        <w:numPr>
          <w:ilvl w:val="1"/>
          <w:numId w:val="1008"/>
        </w:numPr>
        <w:pStyle w:val="Compact"/>
      </w:pPr>
      <w:r>
        <w:t xml:space="preserve">Indizes erstellen.</w:t>
      </w:r>
    </w:p>
    <w:p>
      <w:pPr>
        <w:numPr>
          <w:ilvl w:val="0"/>
          <w:numId w:val="1006"/>
        </w:numPr>
        <w:pStyle w:val="Compact"/>
      </w:pPr>
      <w:r>
        <w:t xml:space="preserve">Editieren:</w:t>
      </w:r>
    </w:p>
    <w:p>
      <w:pPr>
        <w:numPr>
          <w:ilvl w:val="1"/>
          <w:numId w:val="1009"/>
        </w:numPr>
        <w:pStyle w:val="Compact"/>
      </w:pPr>
      <w:r>
        <w:t xml:space="preserve">Code formatieren,</w:t>
      </w:r>
    </w:p>
    <w:p>
      <w:pPr>
        <w:numPr>
          <w:ilvl w:val="1"/>
          <w:numId w:val="1009"/>
        </w:numPr>
        <w:pStyle w:val="Compact"/>
      </w:pPr>
      <w:r>
        <w:t xml:space="preserve">Hierarchie umstrukturieren (Kapitel, Abschnitte, …),</w:t>
      </w:r>
    </w:p>
    <w:p>
      <w:pPr>
        <w:numPr>
          <w:ilvl w:val="1"/>
          <w:numId w:val="1009"/>
        </w:numPr>
        <w:pStyle w:val="Compact"/>
      </w:pPr>
      <w:r>
        <w:rPr>
          <w:bCs/>
          <w:b/>
        </w:rPr>
        <w:t xml:space="preserve">Wiederverwendbarkeit</w:t>
      </w:r>
    </w:p>
    <w:p>
      <w:pPr>
        <w:numPr>
          <w:ilvl w:val="2"/>
          <w:numId w:val="1010"/>
        </w:numPr>
        <w:pStyle w:val="Compact"/>
      </w:pPr>
      <w:r>
        <w:t xml:space="preserve">zwischen anderen Dokumenten (gleichen Formats)</w:t>
      </w:r>
    </w:p>
    <w:p>
      <w:pPr>
        <w:numPr>
          <w:ilvl w:val="2"/>
          <w:numId w:val="1010"/>
        </w:numPr>
        <w:pStyle w:val="Compact"/>
      </w:pPr>
      <w:r>
        <w:t xml:space="preserve">Kompilierung in andere Formate (Slides,</w:t>
      </w:r>
      <w:r>
        <w:t xml:space="preserve"> </w:t>
      </w:r>
      <w:r>
        <w:rPr>
          <w:rStyle w:val="VerbatimChar"/>
        </w:rPr>
        <w:t xml:space="preserve">Microsoft Word</w:t>
      </w:r>
      <w:r>
        <w:t xml:space="preserve">,</w:t>
      </w:r>
      <w:r>
        <w:t xml:space="preserve"> </w:t>
      </w:r>
      <w:r>
        <w:rPr>
          <w:rStyle w:val="VerbatimChar"/>
        </w:rPr>
        <w:t xml:space="preserve">HTML</w:t>
      </w:r>
      <w:r>
        <w:t xml:space="preserve">, …)</w:t>
      </w:r>
    </w:p>
    <w:p>
      <w:pPr>
        <w:numPr>
          <w:ilvl w:val="0"/>
          <w:numId w:val="1006"/>
        </w:numPr>
        <w:pStyle w:val="Compact"/>
      </w:pPr>
      <w:r>
        <w:rPr>
          <w:bCs/>
          <w:b/>
        </w:rPr>
        <w:t xml:space="preserve">Formeln:</w:t>
      </w:r>
    </w:p>
    <w:p>
      <w:pPr>
        <w:numPr>
          <w:ilvl w:val="1"/>
          <w:numId w:val="1011"/>
        </w:numPr>
        <w:pStyle w:val="Compact"/>
      </w:pPr>
      <w:r>
        <w:t xml:space="preserve">Schreiben komplexerer Formeln (insbesondere in</w:t>
      </w:r>
      <w:r>
        <w:t xml:space="preserve"> </w:t>
      </w:r>
      <w:r>
        <w:rPr>
          <w:rStyle w:val="VerbatimChar"/>
        </w:rPr>
        <w:t xml:space="preserve">LaTeX</w:t>
      </w:r>
      <w:r>
        <w:t xml:space="preserve">)</w:t>
      </w:r>
    </w:p>
    <w:bookmarkEnd w:id="28"/>
    <w:bookmarkStart w:id="29" w:name="textverarbeitungsprogramm-versus-editor"/>
    <w:p>
      <w:pPr>
        <w:pStyle w:val="Heading2"/>
      </w:pPr>
      <w:r>
        <w:t xml:space="preserve">Textverarbeitungsprogramm versus Editor</w:t>
      </w:r>
    </w:p>
    <w:p>
      <w:pPr>
        <w:pStyle w:val="FirstParagraph"/>
      </w:pPr>
      <w:r>
        <w:rPr>
          <w:rStyle w:val="VerbatimChar"/>
        </w:rPr>
        <w:t xml:space="preserve">Microsoft Word</w:t>
      </w:r>
      <w:r>
        <w:t xml:space="preserve">,</w:t>
      </w:r>
      <w:r>
        <w:t xml:space="preserve"> </w:t>
      </w:r>
      <w:r>
        <w:rPr>
          <w:rStyle w:val="VerbatimChar"/>
        </w:rPr>
        <w:t xml:space="preserve">LibreOffice Writer</w:t>
      </w:r>
      <w:r>
        <w:t xml:space="preserve">, … lassen Dich schnell ein vernünftig formatiertes Dokument erstellen.</w:t>
      </w:r>
    </w:p>
    <w:p>
      <w:pPr>
        <w:pStyle w:val="BodyText"/>
      </w:pPr>
      <w:r>
        <w:t xml:space="preserve">Auszeichnungssprachen wie</w:t>
      </w:r>
      <w:r>
        <w:t xml:space="preserve"> </w:t>
      </w:r>
      <w:r>
        <w:rPr>
          <w:rStyle w:val="VerbatimChar"/>
        </w:rPr>
        <w:t xml:space="preserve">Markdown</w:t>
      </w:r>
      <w:r>
        <w:t xml:space="preserve"> </w:t>
      </w:r>
      <w:r>
        <w:t xml:space="preserve">oder</w:t>
      </w:r>
      <w:r>
        <w:t xml:space="preserve"> </w:t>
      </w:r>
      <w:r>
        <w:rPr>
          <w:rStyle w:val="VerbatimChar"/>
        </w:rPr>
        <w:t xml:space="preserve">LaTeX</w:t>
      </w:r>
      <w:r>
        <w:t xml:space="preserve"> </w:t>
      </w:r>
      <w:r>
        <w:t xml:space="preserve">erzeugen eine bessere Formatierung bei höherem (Zeit-)aufwand.</w:t>
      </w:r>
    </w:p>
    <w:p>
      <w:pPr>
        <w:pStyle w:val="BodyText"/>
      </w:pPr>
      <w:r>
        <w:rPr>
          <w:rStyle w:val="VerbatimChar"/>
        </w:rPr>
        <w:t xml:space="preserve">Markdown</w:t>
      </w:r>
      <w:r>
        <w:t xml:space="preserve"> </w:t>
      </w:r>
      <w:r>
        <w:t xml:space="preserve">lohnt sich für komplexe Dokumente mit</w:t>
      </w:r>
    </w:p>
    <w:p>
      <w:pPr>
        <w:numPr>
          <w:ilvl w:val="0"/>
          <w:numId w:val="1012"/>
        </w:numPr>
        <w:pStyle w:val="Compact"/>
      </w:pPr>
      <w:r>
        <w:rPr>
          <w:iCs/>
          <w:i/>
        </w:rPr>
        <w:t xml:space="preserve">Hierarchie</w:t>
      </w:r>
      <w:r>
        <w:t xml:space="preserve">: Kapiteln, Abschnitten, …</w:t>
      </w:r>
    </w:p>
    <w:p>
      <w:pPr>
        <w:numPr>
          <w:ilvl w:val="0"/>
          <w:numId w:val="1012"/>
        </w:numPr>
        <w:pStyle w:val="Compact"/>
      </w:pPr>
      <w:r>
        <w:rPr>
          <w:iCs/>
          <w:i/>
        </w:rPr>
        <w:t xml:space="preserve">Zitaten</w:t>
      </w:r>
      <w:r>
        <w:t xml:space="preserve">, und</w:t>
      </w:r>
    </w:p>
    <w:p>
      <w:pPr>
        <w:numPr>
          <w:ilvl w:val="0"/>
          <w:numId w:val="1012"/>
        </w:numPr>
        <w:pStyle w:val="Compact"/>
      </w:pPr>
      <w:r>
        <w:rPr>
          <w:iCs/>
          <w:i/>
        </w:rPr>
        <w:t xml:space="preserve">Code</w:t>
      </w:r>
      <w:r>
        <w:t xml:space="preserve">, …</w:t>
      </w:r>
    </w:p>
    <w:p>
      <w:pPr>
        <w:pStyle w:val="FirstParagraph"/>
      </w:pPr>
      <w:r>
        <w:rPr>
          <w:rStyle w:val="VerbatimChar"/>
        </w:rPr>
        <w:t xml:space="preserve">LaTeX</w:t>
      </w:r>
      <w:r>
        <w:t xml:space="preserve"> </w:t>
      </w:r>
      <w:r>
        <w:t xml:space="preserve">zahlt sich aus in Dokumenten mit</w:t>
      </w:r>
    </w:p>
    <w:p>
      <w:pPr>
        <w:numPr>
          <w:ilvl w:val="0"/>
          <w:numId w:val="1013"/>
        </w:numPr>
        <w:pStyle w:val="Compact"/>
      </w:pPr>
      <w:r>
        <w:t xml:space="preserve">vielen</w:t>
      </w:r>
      <w:r>
        <w:t xml:space="preserve"> </w:t>
      </w:r>
      <w:r>
        <w:rPr>
          <w:bCs/>
          <w:b/>
        </w:rPr>
        <w:t xml:space="preserve">Referenzen</w:t>
      </w:r>
      <w:r>
        <w:t xml:space="preserve">, und</w:t>
      </w:r>
    </w:p>
    <w:p>
      <w:pPr>
        <w:numPr>
          <w:ilvl w:val="0"/>
          <w:numId w:val="1013"/>
        </w:numPr>
        <w:pStyle w:val="Compact"/>
      </w:pPr>
      <w:r>
        <w:rPr>
          <w:bCs/>
          <w:b/>
        </w:rPr>
        <w:t xml:space="preserve">vielen Formeln</w:t>
      </w:r>
      <w:r>
        <w:t xml:space="preserve">.</w:t>
      </w:r>
    </w:p>
    <w:bookmarkEnd w:id="29"/>
    <w:bookmarkStart w:id="34" w:name="word-formeleditor"/>
    <w:p>
      <w:pPr>
        <w:pStyle w:val="Heading2"/>
      </w:pPr>
      <w:r>
        <w:t xml:space="preserve">Word Formeleditor</w:t>
      </w:r>
    </w:p>
    <w:p>
      <w:pPr>
        <w:pStyle w:val="CaptionedFigure"/>
      </w:pPr>
      <w:r>
        <w:drawing>
          <wp:inline>
            <wp:extent cx="5222449" cy="1545995"/>
            <wp:effectExtent b="0" l="0" r="0" t="0"/>
            <wp:docPr descr="Seit der Version 2019 bietet Microsoft Word auch das Schreiben mathematischer Formeln in der Syntax LaTeX. Im “Latex-Modus” zum Schreiben von Formeln lassen sich auch Formeln aus anderen LaTeX Dokumenten einfügen." title="" id="31" name="Picture"/>
            <a:graphic>
              <a:graphicData uri="http://schemas.openxmlformats.org/drawingml/2006/picture">
                <pic:pic>
                  <pic:nvPicPr>
                    <pic:cNvPr descr="./images/latex-word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449" cy="1545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Seit der Version 2019 bietet Microsoft Word auch das Schreiben mathematischer Formeln in der Syntax LaTeX.</w:t>
      </w:r>
      <w:r>
        <w:t xml:space="preserve"> </w:t>
      </w:r>
      <w:r>
        <w:t xml:space="preserve">Im</w:t>
      </w:r>
      <w:r>
        <w:t xml:space="preserve"> </w:t>
      </w:r>
      <w:r>
        <w:t xml:space="preserve">“</w:t>
      </w:r>
      <w:r>
        <w:t xml:space="preserve">Latex-Modus</w:t>
      </w:r>
      <w:r>
        <w:t xml:space="preserve">”</w:t>
      </w:r>
      <w:r>
        <w:t xml:space="preserve"> </w:t>
      </w:r>
      <w:r>
        <w:t xml:space="preserve">zum Schreiben von Formeln lassen sich auch Formeln aus anderen LaTeX Dokumenten einfügen.</w:t>
      </w:r>
    </w:p>
    <w:p>
      <w:pPr>
        <w:pStyle w:val="BodyText"/>
      </w:pPr>
      <w:hyperlink r:id="rId33">
        <w:r>
          <w:rPr>
            <w:rStyle w:val="Hyperlink"/>
          </w:rPr>
          <w:t xml:space="preserve">Auf Web2-Unterricht</w:t>
        </w:r>
      </w:hyperlink>
      <w:r>
        <w:t xml:space="preserve"> </w:t>
      </w:r>
      <w:r>
        <w:t xml:space="preserve">gibt es Tipps zu seiner komfortablen Bedienung.</w:t>
      </w:r>
    </w:p>
    <w:bookmarkEnd w:id="34"/>
    <w:bookmarkStart w:id="38" w:name="section-2"/>
    <w:p>
      <w:pPr>
        <w:pStyle w:val="Heading2"/>
      </w:pPr>
    </w:p>
    <w:p>
      <w:pPr>
        <w:pStyle w:val="CaptionedFigure"/>
      </w:pPr>
      <w:r>
        <w:drawing>
          <wp:inline>
            <wp:extent cx="5334000" cy="3652367"/>
            <wp:effectExtent b="0" l="0" r="0" t="0"/>
            <wp:docPr descr="Gewiefte Imitation der Formatierung LaTeXs durch Microsoft Word" title="" id="36" name="Picture"/>
            <a:graphic>
              <a:graphicData uri="http://schemas.openxmlformats.org/drawingml/2006/picture">
                <pic:pic>
                  <pic:nvPicPr>
                    <pic:cNvPr descr="./images/fake-latex-word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523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Gewiefte Imitation der Formatierung</w:t>
      </w:r>
      <w:r>
        <w:t xml:space="preserve"> </w:t>
      </w:r>
      <w:r>
        <w:rPr>
          <w:rStyle w:val="VerbatimChar"/>
        </w:rPr>
        <w:t xml:space="preserve">LaTeX</w:t>
      </w:r>
      <w:r>
        <w:t xml:space="preserve">s durch Microsoft Word</w:t>
      </w:r>
    </w:p>
    <w:bookmarkEnd w:id="38"/>
    <w:bookmarkStart w:id="42" w:name="section-3"/>
    <w:p>
      <w:pPr>
        <w:pStyle w:val="Heading2"/>
      </w:pPr>
    </w:p>
    <w:p>
      <w:pPr>
        <w:pStyle w:val="CaptionedFigure"/>
      </w:pPr>
      <w:r>
        <w:drawing>
          <wp:inline>
            <wp:extent cx="5334000" cy="5086864"/>
            <wp:effectExtent b="0" l="0" r="0" t="0"/>
            <wp:docPr descr="Lyx als Zwischenglied zwischen WYSIWYG und Codebearbeitung" title="" id="40" name="Picture"/>
            <a:graphic>
              <a:graphicData uri="http://schemas.openxmlformats.org/drawingml/2006/picture">
                <pic:pic>
                  <pic:nvPicPr>
                    <pic:cNvPr descr="./images/lyx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868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rPr>
          <w:rStyle w:val="VerbatimChar"/>
        </w:rPr>
        <w:t xml:space="preserve">Lyx</w:t>
      </w:r>
      <w:r>
        <w:t xml:space="preserve"> </w:t>
      </w:r>
      <w:r>
        <w:t xml:space="preserve">als Zwischenglied zwischen</w:t>
      </w:r>
      <w:r>
        <w:t xml:space="preserve"> </w:t>
      </w:r>
      <w:r>
        <w:rPr>
          <w:rStyle w:val="VerbatimChar"/>
        </w:rPr>
        <w:t xml:space="preserve">WYSIWYG</w:t>
      </w:r>
      <w:r>
        <w:t xml:space="preserve"> </w:t>
      </w:r>
      <w:r>
        <w:t xml:space="preserve">und Codebearbeitung</w:t>
      </w:r>
    </w:p>
    <w:bookmarkEnd w:id="42"/>
    <w:bookmarkStart w:id="43" w:name="was-ist-eine-auszeichnungssprache"/>
    <w:p>
      <w:pPr>
        <w:pStyle w:val="Heading2"/>
      </w:pPr>
      <w:r>
        <w:t xml:space="preserve">Was ist eine</w:t>
      </w:r>
      <w:r>
        <w:t xml:space="preserve"> </w:t>
      </w:r>
      <w:r>
        <w:rPr>
          <w:iCs/>
          <w:i/>
        </w:rPr>
        <w:t xml:space="preserve">Auszeichnungssprache</w:t>
      </w:r>
      <w:r>
        <w:t xml:space="preserve">?</w:t>
      </w:r>
    </w:p>
    <w:p>
      <w:pPr>
        <w:pStyle w:val="FirstParagraph"/>
      </w:pPr>
      <w:r>
        <w:t xml:space="preserve">Eine</w:t>
      </w:r>
      <w:r>
        <w:t xml:space="preserve"> </w:t>
      </w:r>
      <w:r>
        <w:rPr>
          <w:iCs/>
          <w:i/>
        </w:rPr>
        <w:t xml:space="preserve">Auszeichnungssprache</w:t>
      </w:r>
      <w:r>
        <w:t xml:space="preserve"> </w:t>
      </w:r>
      <w:r>
        <w:t xml:space="preserve">beschreibt die Darstellung des Inhalts.</w:t>
      </w:r>
      <w:r>
        <w:t xml:space="preserve"> </w:t>
      </w:r>
      <w:r>
        <w:t xml:space="preserve">Alle drei folgenden Markierungen erzeugen:</w:t>
      </w:r>
      <w:r>
        <w:t xml:space="preserve"> </w:t>
      </w:r>
      <w:r>
        <w:t xml:space="preserve">“</w:t>
      </w:r>
      <w:r>
        <w:t xml:space="preserve">Das ist</w:t>
      </w:r>
      <w:r>
        <w:t xml:space="preserve"> </w:t>
      </w:r>
      <w:r>
        <w:rPr>
          <w:bCs/>
          <w:b/>
        </w:rPr>
        <w:t xml:space="preserve">wichtig</w:t>
      </w:r>
      <w:r>
        <w:t xml:space="preserve">!</w:t>
      </w:r>
      <w:r>
        <w:t xml:space="preserve">”</w:t>
      </w:r>
    </w:p>
    <w:p>
      <w:pPr>
        <w:numPr>
          <w:ilvl w:val="0"/>
          <w:numId w:val="1014"/>
        </w:numPr>
        <w:pStyle w:val="Compact"/>
      </w:pPr>
      <w:r>
        <w:t xml:space="preserve">Für die Formatierung einer Seite, die in einem Browser angezeigt wird, ist in der Sprache</w:t>
      </w:r>
      <w:r>
        <w:t xml:space="preserve"> </w:t>
      </w:r>
      <w:r>
        <w:rPr>
          <w:rStyle w:val="VerbatimChar"/>
        </w:rPr>
        <w:t xml:space="preserve">HTML</w:t>
      </w:r>
      <w:r>
        <w:t xml:space="preserve"> </w:t>
      </w:r>
      <w:r>
        <w:t xml:space="preserve">verfasst mit der Syntax:</w:t>
      </w:r>
    </w:p>
    <w:p>
      <w:pPr>
        <w:pStyle w:val="SourceCode"/>
      </w:pPr>
      <w:r>
        <w:rPr>
          <w:rStyle w:val="NormalTok"/>
        </w:rPr>
        <w:t xml:space="preserve">    "Das ist </w:t>
      </w:r>
      <w:r>
        <w:rPr>
          <w:rStyle w:val="KeywordTok"/>
        </w:rPr>
        <w:t xml:space="preserve">&lt;strong&gt;</w:t>
      </w:r>
      <w:r>
        <w:rPr>
          <w:rStyle w:val="NormalTok"/>
        </w:rPr>
        <w:t xml:space="preserve">wichtig</w:t>
      </w:r>
      <w:r>
        <w:rPr>
          <w:rStyle w:val="KeywordTok"/>
        </w:rPr>
        <w:t xml:space="preserve">&lt;/strong&gt;</w:t>
      </w:r>
      <w:r>
        <w:rPr>
          <w:rStyle w:val="NormalTok"/>
        </w:rPr>
        <w:t xml:space="preserve">!"</w:t>
      </w:r>
    </w:p>
    <w:p>
      <w:pPr>
        <w:numPr>
          <w:ilvl w:val="0"/>
          <w:numId w:val="1015"/>
        </w:numPr>
        <w:pStyle w:val="Compact"/>
      </w:pPr>
      <w:r>
        <w:t xml:space="preserve">Die Sprache</w:t>
      </w:r>
      <w:r>
        <w:t xml:space="preserve"> </w:t>
      </w:r>
      <w:r>
        <w:rPr>
          <w:rStyle w:val="VerbatimChar"/>
        </w:rPr>
        <w:t xml:space="preserve">Markdown</w:t>
      </w:r>
      <w:r>
        <w:t xml:space="preserve"> </w:t>
      </w:r>
      <w:r>
        <w:t xml:space="preserve">lässt sich zu</w:t>
      </w:r>
      <w:r>
        <w:t xml:space="preserve"> </w:t>
      </w:r>
      <w:r>
        <w:rPr>
          <w:rStyle w:val="VerbatimChar"/>
        </w:rPr>
        <w:t xml:space="preserve">HTML</w:t>
      </w:r>
      <w:r>
        <w:t xml:space="preserve"> </w:t>
      </w:r>
      <w:r>
        <w:t xml:space="preserve">kompilieren und hat eine intuitivere Syntax:</w:t>
      </w:r>
    </w:p>
    <w:p>
      <w:pPr>
        <w:pStyle w:val="SourceCode"/>
      </w:pPr>
      <w:r>
        <w:rPr>
          <w:rStyle w:val="InformationTok"/>
        </w:rPr>
        <w:t xml:space="preserve">    "Das ist **wichtig**!"</w:t>
      </w:r>
    </w:p>
    <w:p>
      <w:pPr>
        <w:numPr>
          <w:ilvl w:val="0"/>
          <w:numId w:val="1016"/>
        </w:numPr>
        <w:pStyle w:val="Compact"/>
      </w:pPr>
      <w:r>
        <w:t xml:space="preserve">Die Sprache</w:t>
      </w:r>
      <w:r>
        <w:t xml:space="preserve"> </w:t>
      </w:r>
      <w:r>
        <w:rPr>
          <w:rStyle w:val="VerbatimChar"/>
        </w:rPr>
        <w:t xml:space="preserve">LaTeX</w:t>
      </w:r>
      <w:r>
        <w:t xml:space="preserve"> </w:t>
      </w:r>
      <w:r>
        <w:t xml:space="preserve">wird zu</w:t>
      </w:r>
      <w:r>
        <w:t xml:space="preserve"> </w:t>
      </w:r>
      <w:r>
        <w:rPr>
          <w:rStyle w:val="VerbatimChar"/>
        </w:rPr>
        <w:t xml:space="preserve">PDF</w:t>
      </w:r>
      <w:r>
        <w:t xml:space="preserve"> </w:t>
      </w:r>
      <w:r>
        <w:t xml:space="preserve">kompiliert und hat die Syntax:</w:t>
      </w:r>
    </w:p>
    <w:p>
      <w:pPr>
        <w:pStyle w:val="SourceCode"/>
      </w:pPr>
      <w:r>
        <w:rPr>
          <w:rStyle w:val="NormalTok"/>
        </w:rPr>
        <w:t xml:space="preserve">    "Das ist </w:t>
      </w:r>
      <w:r>
        <w:rPr>
          <w:rStyle w:val="FunctionTok"/>
        </w:rPr>
        <w:t xml:space="preserve">\textbf</w:t>
      </w:r>
      <w:r>
        <w:rPr>
          <w:rStyle w:val="NormalTok"/>
        </w:rPr>
        <w:t xml:space="preserve">{wichtig}!"</w:t>
      </w:r>
    </w:p>
    <w:bookmarkEnd w:id="43"/>
    <w:bookmarkStart w:id="53" w:name="syntax-markdown"/>
    <w:p>
      <w:pPr>
        <w:pStyle w:val="Heading1"/>
      </w:pPr>
      <w:r>
        <w:t xml:space="preserve">Syntax</w:t>
      </w:r>
      <w:r>
        <w:t xml:space="preserve"> </w:t>
      </w:r>
      <w:r>
        <w:rPr>
          <w:rStyle w:val="VerbatimChar"/>
        </w:rPr>
        <w:t xml:space="preserve">Markdown</w:t>
      </w:r>
    </w:p>
    <w:bookmarkStart w:id="47" w:name="section-4"/>
    <w:p>
      <w:pPr>
        <w:pStyle w:val="Heading2"/>
      </w:pPr>
    </w:p>
    <w:p>
      <w:pPr>
        <w:pStyle w:val="CaptionedFigure"/>
      </w:pPr>
      <w:r>
        <w:drawing>
          <wp:inline>
            <wp:extent cx="5334000" cy="3579537"/>
            <wp:effectExtent b="0" l="0" r="0" t="0"/>
            <wp:docPr descr="Spickzettel der Markdown-Syntax" title="cheatsheet" id="45" name="Picture"/>
            <a:graphic>
              <a:graphicData uri="http://schemas.openxmlformats.org/drawingml/2006/picture">
                <pic:pic>
                  <pic:nvPicPr>
                    <pic:cNvPr descr="./images/markdown_cheatsheet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795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Spickzettel der Markdown-Syntax</w:t>
      </w:r>
    </w:p>
    <w:bookmarkEnd w:id="47"/>
    <w:bookmarkStart w:id="48" w:name="section-5"/>
    <w:p>
      <w:pPr>
        <w:pStyle w:val="Heading2"/>
      </w:pPr>
    </w:p>
    <w:p>
      <w:pPr>
        <w:pStyle w:val="SourceCode"/>
      </w:pPr>
      <w:r>
        <w:rPr>
          <w:rStyle w:val="FunctionTok"/>
        </w:rPr>
        <w:t xml:space="preserve"># Aufgelistete Elemente hervorgehoben: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*Gewicht*</w:t>
      </w:r>
      <w:r>
        <w:br/>
      </w:r>
      <w:r>
        <w:rPr>
          <w:rStyle w:val="SpecialStringTok"/>
        </w:rPr>
        <w:t xml:space="preserve">- </w:t>
      </w:r>
      <w:r>
        <w:rPr>
          <w:rStyle w:val="NormalTok"/>
        </w:rPr>
        <w:t xml:space="preserve">*Größe*</w:t>
      </w:r>
      <w:r>
        <w:br/>
      </w:r>
      <w:r>
        <w:br/>
      </w:r>
      <w:r>
        <w:rPr>
          <w:rStyle w:val="FunctionTok"/>
        </w:rPr>
        <w:t xml:space="preserve"># Aufgelistete Elemente fettgedruckt:</w:t>
      </w:r>
      <w:r>
        <w:br/>
      </w:r>
      <w:r>
        <w:rPr>
          <w:rStyle w:val="SpecialStringTok"/>
        </w:rPr>
        <w:t xml:space="preserve">1. </w:t>
      </w:r>
      <w:r>
        <w:rPr>
          <w:rStyle w:val="NormalTok"/>
        </w:rPr>
        <w:t xml:space="preserve">**Mutter**</w:t>
      </w:r>
      <w:r>
        <w:br/>
      </w:r>
      <w:r>
        <w:rPr>
          <w:rStyle w:val="SpecialStringTok"/>
        </w:rPr>
        <w:t xml:space="preserve">0. </w:t>
      </w:r>
      <w:r>
        <w:rPr>
          <w:rStyle w:val="NormalTok"/>
        </w:rPr>
        <w:t xml:space="preserve">**Vater**</w:t>
      </w:r>
      <w:r>
        <w:br/>
      </w:r>
      <w:r>
        <w:br/>
      </w:r>
      <w:r>
        <w:rPr>
          <w:rStyle w:val="FunctionTok"/>
        </w:rPr>
        <w:t xml:space="preserve"># Tabelle</w:t>
      </w:r>
      <w:r>
        <w:br/>
      </w:r>
      <w:r>
        <w:br/>
      </w:r>
      <w:r>
        <w:rPr>
          <w:rStyle w:val="NormalTok"/>
        </w:rPr>
        <w:t xml:space="preserve">|         | Mutter | Vater  |</w:t>
      </w:r>
      <w:r>
        <w:br/>
      </w:r>
      <w:r>
        <w:rPr>
          <w:rStyle w:val="NormalTok"/>
        </w:rPr>
        <w:t xml:space="preserve">|---------|--------|--------|</w:t>
      </w:r>
      <w:r>
        <w:br/>
      </w:r>
      <w:r>
        <w:rPr>
          <w:rStyle w:val="NormalTok"/>
        </w:rPr>
        <w:t xml:space="preserve">| Gewicht | 100 kg | 200 kg |</w:t>
      </w:r>
      <w:r>
        <w:br/>
      </w:r>
      <w:r>
        <w:rPr>
          <w:rStyle w:val="NormalTok"/>
        </w:rPr>
        <w:t xml:space="preserve">| Größe   | 1,20 m | 2,10 m |</w:t>
      </w:r>
    </w:p>
    <w:bookmarkEnd w:id="48"/>
    <w:bookmarkStart w:id="52" w:name="leadsto"/>
    <w:p>
      <w:pPr>
        <w:pStyle w:val="Heading2"/>
      </w:pPr>
      <m:oMath>
        <m:r>
          <m:rPr>
            <m:sty m:val="p"/>
          </m:rPr>
          <m:t>⤳</m:t>
        </m:r>
      </m:oMath>
    </w:p>
    <w:bookmarkStart w:id="49" w:name="hervorgehobene-auflistung"/>
    <w:p>
      <w:pPr>
        <w:pStyle w:val="Heading3"/>
      </w:pPr>
      <w:r>
        <w:t xml:space="preserve">Hervorgehobene Auflistung:</w:t>
      </w:r>
    </w:p>
    <w:p>
      <w:pPr>
        <w:numPr>
          <w:ilvl w:val="0"/>
          <w:numId w:val="1017"/>
        </w:numPr>
        <w:pStyle w:val="Compact"/>
      </w:pPr>
      <w:r>
        <w:rPr>
          <w:iCs/>
          <w:i/>
        </w:rPr>
        <w:t xml:space="preserve">Gewicht</w:t>
      </w:r>
    </w:p>
    <w:p>
      <w:pPr>
        <w:numPr>
          <w:ilvl w:val="0"/>
          <w:numId w:val="1017"/>
        </w:numPr>
        <w:pStyle w:val="Compact"/>
      </w:pPr>
      <w:r>
        <w:rPr>
          <w:iCs/>
          <w:i/>
        </w:rPr>
        <w:t xml:space="preserve">Größe</w:t>
      </w:r>
    </w:p>
    <w:bookmarkEnd w:id="49"/>
    <w:bookmarkStart w:id="50" w:name="fettgedruckte-auflistung"/>
    <w:p>
      <w:pPr>
        <w:pStyle w:val="Heading3"/>
      </w:pPr>
      <w:r>
        <w:t xml:space="preserve">Fettgedruckte Auflistung:</w:t>
      </w:r>
    </w:p>
    <w:p>
      <w:pPr>
        <w:numPr>
          <w:ilvl w:val="0"/>
          <w:numId w:val="1018"/>
        </w:numPr>
        <w:pStyle w:val="Compact"/>
      </w:pPr>
      <w:r>
        <w:rPr>
          <w:bCs/>
          <w:b/>
        </w:rPr>
        <w:t xml:space="preserve">Mutter</w:t>
      </w:r>
    </w:p>
    <w:p>
      <w:pPr>
        <w:numPr>
          <w:ilvl w:val="0"/>
          <w:numId w:val="1018"/>
        </w:numPr>
        <w:pStyle w:val="Compact"/>
      </w:pPr>
      <w:r>
        <w:rPr>
          <w:bCs/>
          <w:b/>
        </w:rPr>
        <w:t xml:space="preserve">Vater</w:t>
      </w:r>
    </w:p>
    <w:bookmarkEnd w:id="50"/>
    <w:bookmarkStart w:id="51" w:name="tabelle"/>
    <w:p>
      <w:pPr>
        <w:pStyle w:val="Heading3"/>
      </w:pPr>
      <w:r>
        <w:t xml:space="preserve">Tabelle</w:t>
      </w:r>
    </w:p>
    <w:tbl>
      <w:tblPr>
        <w:tblStyle w:val="Table"/>
        <w:tblW w:type="auto" w:w="0"/>
        <w:tblLook w:firstRow="1" w:lastRow="0" w:firstColumn="0" w:lastColumn="0" w:noHBand="0" w:noVBand="0" w:val="0020"/>
        <w:jc w:val="start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t xml:space="preserve">Mutter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Vater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Gewicht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100 kg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200 kg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Größe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1,20 m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2,10 m</w:t>
            </w:r>
          </w:p>
        </w:tc>
      </w:tr>
    </w:tbl>
    <w:bookmarkEnd w:id="51"/>
    <w:bookmarkEnd w:id="52"/>
    <w:bookmarkEnd w:id="53"/>
    <w:bookmarkStart w:id="58" w:name="pandoc"/>
    <w:p>
      <w:pPr>
        <w:pStyle w:val="Heading1"/>
      </w:pPr>
      <w:r>
        <w:t xml:space="preserve">Pandoc</w:t>
      </w:r>
    </w:p>
    <w:bookmarkStart w:id="54" w:name="was-ist-pandoc"/>
    <w:p>
      <w:pPr>
        <w:pStyle w:val="Heading2"/>
      </w:pPr>
      <w:r>
        <w:t xml:space="preserve">Was ist</w:t>
      </w:r>
      <w:r>
        <w:t xml:space="preserve"> </w:t>
      </w:r>
      <w:r>
        <w:rPr>
          <w:rStyle w:val="VerbatimChar"/>
        </w:rPr>
        <w:t xml:space="preserve">pandoc</w:t>
      </w:r>
      <w:r>
        <w:t xml:space="preserve">?</w:t>
      </w:r>
    </w:p>
    <w:p>
      <w:pPr>
        <w:pStyle w:val="FirstParagraph"/>
      </w:pPr>
      <w:r>
        <w:rPr>
          <w:rStyle w:val="VerbatimChar"/>
        </w:rPr>
        <w:t xml:space="preserve">pandoc</w:t>
      </w:r>
      <w:r>
        <w:t xml:space="preserve"> </w:t>
      </w:r>
      <w:r>
        <w:t xml:space="preserve">ist ein Programm, das eine Datei von einer Auszeichnungssprache in eine andere konvertiert:</w:t>
      </w:r>
      <w:r>
        <w:t xml:space="preserve"> </w:t>
      </w:r>
      <w:r>
        <w:t xml:space="preserve">Von (unter anderem)</w:t>
      </w:r>
    </w:p>
    <w:p>
      <w:pPr>
        <w:numPr>
          <w:ilvl w:val="0"/>
          <w:numId w:val="1019"/>
        </w:numPr>
        <w:pStyle w:val="Compact"/>
      </w:pPr>
      <w:r>
        <w:rPr>
          <w:rStyle w:val="VerbatimChar"/>
        </w:rPr>
        <w:t xml:space="preserve">markdown</w:t>
      </w:r>
      <w:r>
        <w:t xml:space="preserve">,</w:t>
      </w:r>
      <w:r>
        <w:t xml:space="preserve"> </w:t>
      </w:r>
      <w:r>
        <w:rPr>
          <w:rStyle w:val="VerbatimChar"/>
        </w:rPr>
        <w:t xml:space="preserve">HTML</w:t>
      </w:r>
      <w:r>
        <w:t xml:space="preserve">,</w:t>
      </w:r>
      <w:r>
        <w:t xml:space="preserve"> </w:t>
      </w:r>
      <w:r>
        <w:rPr>
          <w:rStyle w:val="VerbatimChar"/>
        </w:rPr>
        <w:t xml:space="preserve">LaTeX</w:t>
      </w:r>
      <w:r>
        <w:t xml:space="preserve">,</w:t>
      </w:r>
      <w:r>
        <w:t xml:space="preserve"> </w:t>
      </w:r>
      <w:r>
        <w:rPr>
          <w:rStyle w:val="VerbatimChar"/>
        </w:rPr>
        <w:t xml:space="preserve">Microsoft Word docx</w:t>
      </w:r>
      <w:r>
        <w:t xml:space="preserve">,</w:t>
      </w:r>
      <w:r>
        <w:t xml:space="preserve"> </w:t>
      </w:r>
      <w:r>
        <w:rPr>
          <w:rStyle w:val="VerbatimChar"/>
        </w:rPr>
        <w:t xml:space="preserve">reStructuredText</w:t>
      </w:r>
      <w:r>
        <w:t xml:space="preserve">,</w:t>
      </w:r>
      <w:r>
        <w:t xml:space="preserve"> </w:t>
      </w:r>
      <w:r>
        <w:rPr>
          <w:rStyle w:val="VerbatimChar"/>
        </w:rPr>
        <w:t xml:space="preserve">textile</w:t>
      </w:r>
      <w:r>
        <w:t xml:space="preserve">,</w:t>
      </w:r>
      <w:r>
        <w:t xml:space="preserve"> </w:t>
      </w:r>
      <w:r>
        <w:rPr>
          <w:rStyle w:val="VerbatimChar"/>
        </w:rPr>
        <w:t xml:space="preserve">Emacs Org-Mode</w:t>
      </w:r>
      <w:r>
        <w:t xml:space="preserve"> </w:t>
      </w:r>
      <w:r>
        <w:t xml:space="preserve">oder</w:t>
      </w:r>
      <w:r>
        <w:t xml:space="preserve"> </w:t>
      </w:r>
      <w:r>
        <w:rPr>
          <w:rStyle w:val="VerbatimChar"/>
        </w:rPr>
        <w:t xml:space="preserve">EPUB</w:t>
      </w:r>
    </w:p>
    <w:p>
      <w:pPr>
        <w:pStyle w:val="FirstParagraph"/>
      </w:pPr>
      <w:r>
        <w:t xml:space="preserve">. . .</w:t>
      </w:r>
    </w:p>
    <w:p>
      <w:pPr>
        <w:pStyle w:val="BodyText"/>
      </w:pPr>
      <w:r>
        <w:t xml:space="preserve">nach (unter anderem)</w:t>
      </w:r>
    </w:p>
    <w:p>
      <w:pPr>
        <w:numPr>
          <w:ilvl w:val="0"/>
          <w:numId w:val="1020"/>
        </w:numPr>
        <w:pStyle w:val="Compact"/>
      </w:pPr>
      <w:r>
        <w:t xml:space="preserve">HTML:</w:t>
      </w:r>
      <w:r>
        <w:t xml:space="preserve"> </w:t>
      </w:r>
      <w:r>
        <w:rPr>
          <w:rStyle w:val="VerbatimChar"/>
        </w:rPr>
        <w:t xml:space="preserve">XHTML</w:t>
      </w:r>
      <w:r>
        <w:t xml:space="preserve">,</w:t>
      </w:r>
      <w:r>
        <w:t xml:space="preserve"> </w:t>
      </w:r>
      <w:r>
        <w:rPr>
          <w:rStyle w:val="VerbatimChar"/>
        </w:rPr>
        <w:t xml:space="preserve">HTML5</w:t>
      </w:r>
      <w:r>
        <w:t xml:space="preserve">, Slides von</w:t>
      </w:r>
      <w:r>
        <w:t xml:space="preserve"> </w:t>
      </w:r>
      <w:r>
        <w:rPr>
          <w:rStyle w:val="VerbatimChar"/>
        </w:rPr>
        <w:t xml:space="preserve">Slidy</w:t>
      </w:r>
      <w:r>
        <w:t xml:space="preserve">,</w:t>
      </w:r>
      <w:r>
        <w:t xml:space="preserve"> </w:t>
      </w:r>
      <w:r>
        <w:rPr>
          <w:rStyle w:val="VerbatimChar"/>
        </w:rPr>
        <w:t xml:space="preserve">reveal.js</w:t>
      </w:r>
    </w:p>
    <w:p>
      <w:pPr>
        <w:numPr>
          <w:ilvl w:val="0"/>
          <w:numId w:val="1020"/>
        </w:numPr>
        <w:pStyle w:val="Compact"/>
      </w:pPr>
      <w:r>
        <w:t xml:space="preserve">Textverarbeitung:</w:t>
      </w:r>
      <w:r>
        <w:t xml:space="preserve"> </w:t>
      </w:r>
      <w:r>
        <w:rPr>
          <w:rStyle w:val="VerbatimChar"/>
        </w:rPr>
        <w:t xml:space="preserve">Microsoft Word docx</w:t>
      </w:r>
      <w:r>
        <w:t xml:space="preserve">,</w:t>
      </w:r>
      <w:r>
        <w:t xml:space="preserve"> </w:t>
      </w:r>
      <w:r>
        <w:rPr>
          <w:rStyle w:val="VerbatimChar"/>
        </w:rPr>
        <w:t xml:space="preserve">LibreOffice</w:t>
      </w:r>
      <w:r>
        <w:t xml:space="preserve"> </w:t>
      </w:r>
      <w:r>
        <w:t xml:space="preserve">und</w:t>
      </w:r>
      <w:r>
        <w:t xml:space="preserve"> </w:t>
      </w:r>
      <w:r>
        <w:rPr>
          <w:rStyle w:val="VerbatimChar"/>
        </w:rPr>
        <w:t xml:space="preserve">OpenOffice ODT</w:t>
      </w:r>
      <w:r>
        <w:t xml:space="preserve">,</w:t>
      </w:r>
      <w:r>
        <w:t xml:space="preserve"> </w:t>
      </w:r>
      <w:r>
        <w:rPr>
          <w:rStyle w:val="VerbatimChar"/>
        </w:rPr>
        <w:t xml:space="preserve">OpenDocument XML</w:t>
      </w:r>
    </w:p>
    <w:p>
      <w:pPr>
        <w:numPr>
          <w:ilvl w:val="0"/>
          <w:numId w:val="1020"/>
        </w:numPr>
        <w:pStyle w:val="Compact"/>
      </w:pPr>
      <w:r>
        <w:rPr>
          <w:rStyle w:val="VerbatimChar"/>
        </w:rPr>
        <w:t xml:space="preserve">PDF</w:t>
      </w:r>
      <w:r>
        <w:t xml:space="preserve"> </w:t>
      </w:r>
      <w:r>
        <w:t xml:space="preserve">über</w:t>
      </w:r>
      <w:r>
        <w:t xml:space="preserve"> </w:t>
      </w:r>
      <w:r>
        <w:rPr>
          <w:rStyle w:val="VerbatimChar"/>
        </w:rPr>
        <w:t xml:space="preserve">LaTeX</w:t>
      </w:r>
    </w:p>
    <w:p>
      <w:pPr>
        <w:numPr>
          <w:ilvl w:val="0"/>
          <w:numId w:val="1020"/>
        </w:numPr>
        <w:pStyle w:val="Compact"/>
      </w:pPr>
      <w:r>
        <w:t xml:space="preserve">TeX:</w:t>
      </w:r>
      <w:r>
        <w:t xml:space="preserve"> </w:t>
      </w:r>
      <w:r>
        <w:rPr>
          <w:rStyle w:val="VerbatimChar"/>
        </w:rPr>
        <w:t xml:space="preserve">LaTeX</w:t>
      </w:r>
      <w:r>
        <w:t xml:space="preserve">,</w:t>
      </w:r>
      <w:r>
        <w:t xml:space="preserve"> </w:t>
      </w:r>
      <w:r>
        <w:rPr>
          <w:rStyle w:val="VerbatimChar"/>
        </w:rPr>
        <w:t xml:space="preserve">ConTeXt</w:t>
      </w:r>
      <w:r>
        <w:t xml:space="preserve">,</w:t>
      </w:r>
      <w:r>
        <w:t xml:space="preserve"> </w:t>
      </w:r>
      <w:r>
        <w:rPr>
          <w:rStyle w:val="VerbatimChar"/>
        </w:rPr>
        <w:t xml:space="preserve">LaTeX Beamer</w:t>
      </w:r>
      <w:r>
        <w:t xml:space="preserve"> </w:t>
      </w:r>
      <w:r>
        <w:t xml:space="preserve">Folien</w:t>
      </w:r>
    </w:p>
    <w:p>
      <w:pPr>
        <w:numPr>
          <w:ilvl w:val="0"/>
          <w:numId w:val="1020"/>
        </w:numPr>
        <w:pStyle w:val="Compact"/>
      </w:pPr>
      <w:r>
        <w:t xml:space="preserve">E-Books:</w:t>
      </w:r>
      <w:r>
        <w:t xml:space="preserve"> </w:t>
      </w:r>
      <w:r>
        <w:rPr>
          <w:rStyle w:val="VerbatimChar"/>
        </w:rPr>
        <w:t xml:space="preserve">EPUB</w:t>
      </w:r>
      <w:r>
        <w:t xml:space="preserve"> </w:t>
      </w:r>
      <w:r>
        <w:t xml:space="preserve">Version 2 oder 3,</w:t>
      </w:r>
      <w:r>
        <w:t xml:space="preserve"> </w:t>
      </w:r>
      <w:r>
        <w:rPr>
          <w:rStyle w:val="VerbatimChar"/>
        </w:rPr>
        <w:t xml:space="preserve">FictionBook2</w:t>
      </w:r>
    </w:p>
    <w:p>
      <w:pPr>
        <w:numPr>
          <w:ilvl w:val="0"/>
          <w:numId w:val="1020"/>
        </w:numPr>
        <w:pStyle w:val="Compact"/>
      </w:pPr>
      <w:r>
        <w:t xml:space="preserve">Dokumentation:</w:t>
      </w:r>
      <w:r>
        <w:t xml:space="preserve"> </w:t>
      </w:r>
      <w:r>
        <w:rPr>
          <w:rStyle w:val="VerbatimChar"/>
        </w:rPr>
        <w:t xml:space="preserve">DocBook</w:t>
      </w:r>
      <w:r>
        <w:t xml:space="preserve">,</w:t>
      </w:r>
      <w:r>
        <w:t xml:space="preserve"> </w:t>
      </w:r>
      <w:r>
        <w:rPr>
          <w:rStyle w:val="VerbatimChar"/>
        </w:rPr>
        <w:t xml:space="preserve">GNU TexInfo</w:t>
      </w:r>
      <w:r>
        <w:t xml:space="preserve">,</w:t>
      </w:r>
      <w:r>
        <w:t xml:space="preserve"> </w:t>
      </w:r>
      <w:r>
        <w:rPr>
          <w:rStyle w:val="VerbatimChar"/>
        </w:rPr>
        <w:t xml:space="preserve">Groff man</w:t>
      </w:r>
      <w:r>
        <w:t xml:space="preserve"> </w:t>
      </w:r>
    </w:p>
    <w:bookmarkEnd w:id="54"/>
    <w:bookmarkStart w:id="55" w:name="was-leistet-pandoc-für-mich"/>
    <w:p>
      <w:pPr>
        <w:pStyle w:val="Heading2"/>
      </w:pPr>
      <w:r>
        <w:t xml:space="preserve">Was leistet</w:t>
      </w:r>
      <w:r>
        <w:t xml:space="preserve"> </w:t>
      </w:r>
      <w:r>
        <w:rPr>
          <w:rStyle w:val="VerbatimChar"/>
        </w:rPr>
        <w:t xml:space="preserve">pandoc</w:t>
      </w:r>
      <w:r>
        <w:t xml:space="preserve"> </w:t>
      </w:r>
      <w:r>
        <w:t xml:space="preserve">für mich?</w:t>
      </w:r>
    </w:p>
    <w:p>
      <w:pPr>
        <w:pStyle w:val="FirstParagraph"/>
      </w:pPr>
      <w:r>
        <w:t xml:space="preserve">Konvertiert Dateien vom</w:t>
      </w:r>
    </w:p>
    <w:p>
      <w:pPr>
        <w:numPr>
          <w:ilvl w:val="0"/>
          <w:numId w:val="1021"/>
        </w:numPr>
        <w:pStyle w:val="Compact"/>
      </w:pPr>
      <w:r>
        <w:rPr>
          <w:rStyle w:val="VerbatimChar"/>
        </w:rPr>
        <w:t xml:space="preserve">Markdown</w:t>
      </w:r>
      <w:r>
        <w:t xml:space="preserve">-Format</w:t>
      </w:r>
    </w:p>
    <w:p>
      <w:pPr>
        <w:pStyle w:val="FirstParagraph"/>
      </w:pPr>
      <w:r>
        <w:t xml:space="preserve">. . .</w:t>
      </w:r>
    </w:p>
    <w:p>
      <w:pPr>
        <w:pStyle w:val="BodyText"/>
      </w:pPr>
      <w:r>
        <w:t xml:space="preserve">in das Format</w:t>
      </w:r>
    </w:p>
    <w:p>
      <w:pPr>
        <w:numPr>
          <w:ilvl w:val="0"/>
          <w:numId w:val="1022"/>
        </w:numPr>
        <w:pStyle w:val="Compact"/>
      </w:pPr>
      <w:r>
        <w:rPr>
          <w:rStyle w:val="VerbatimChar"/>
        </w:rPr>
        <w:t xml:space="preserve">HTML5</w:t>
      </w:r>
      <w:r>
        <w:t xml:space="preserve">-FORMAT</w:t>
      </w:r>
    </w:p>
    <w:p>
      <w:pPr>
        <w:numPr>
          <w:ilvl w:val="0"/>
          <w:numId w:val="1022"/>
        </w:numPr>
        <w:pStyle w:val="Compact"/>
      </w:pPr>
      <w:r>
        <w:rPr>
          <w:rStyle w:val="VerbatimChar"/>
        </w:rPr>
        <w:t xml:space="preserve">Microsoft Word docx</w:t>
      </w:r>
      <w:r>
        <w:t xml:space="preserve">,</w:t>
      </w:r>
      <w:r>
        <w:t xml:space="preserve"> </w:t>
      </w:r>
      <w:r>
        <w:rPr>
          <w:rStyle w:val="VerbatimChar"/>
        </w:rPr>
        <w:t xml:space="preserve">LibreOffice ODT</w:t>
      </w:r>
      <w:r>
        <w:t xml:space="preserve">,</w:t>
      </w:r>
      <w:r>
        <w:t xml:space="preserve"> </w:t>
      </w:r>
      <w:r>
        <w:rPr>
          <w:rStyle w:val="VerbatimChar"/>
        </w:rPr>
        <w:t xml:space="preserve">OpenDocument XML</w:t>
      </w:r>
    </w:p>
    <w:p>
      <w:pPr>
        <w:numPr>
          <w:ilvl w:val="0"/>
          <w:numId w:val="1022"/>
        </w:numPr>
        <w:pStyle w:val="Compact"/>
      </w:pPr>
      <w:r>
        <w:rPr>
          <w:rStyle w:val="VerbatimChar"/>
        </w:rPr>
        <w:t xml:space="preserve">LaTeX Beamer</w:t>
      </w:r>
      <w:r>
        <w:t xml:space="preserve"> </w:t>
      </w:r>
      <w:r>
        <w:t xml:space="preserve">Folien</w:t>
      </w:r>
    </w:p>
    <w:p>
      <w:pPr>
        <w:numPr>
          <w:ilvl w:val="0"/>
          <w:numId w:val="1022"/>
        </w:numPr>
        <w:pStyle w:val="Compact"/>
      </w:pPr>
      <w:r>
        <w:rPr>
          <w:rStyle w:val="VerbatimChar"/>
        </w:rPr>
        <w:t xml:space="preserve">PDF</w:t>
      </w:r>
      <w:r>
        <w:t xml:space="preserve"> </w:t>
      </w:r>
      <w:r>
        <w:t xml:space="preserve">über</w:t>
      </w:r>
      <w:r>
        <w:t xml:space="preserve"> </w:t>
      </w:r>
      <w:r>
        <w:rPr>
          <w:rStyle w:val="VerbatimChar"/>
        </w:rPr>
        <w:t xml:space="preserve">LaTeX</w:t>
      </w:r>
    </w:p>
    <w:bookmarkEnd w:id="55"/>
    <w:bookmarkStart w:id="56" w:name="vorteile-von-pandoc-gegenüber-tex"/>
    <w:p>
      <w:pPr>
        <w:pStyle w:val="Heading2"/>
      </w:pPr>
      <w:r>
        <w:t xml:space="preserve">Vorteile von</w:t>
      </w:r>
      <w:r>
        <w:t xml:space="preserve"> </w:t>
      </w:r>
      <w:r>
        <w:rPr>
          <w:rStyle w:val="VerbatimChar"/>
        </w:rPr>
        <w:t xml:space="preserve">Pandoc</w:t>
      </w:r>
      <w:r>
        <w:t xml:space="preserve"> </w:t>
      </w:r>
      <w:r>
        <w:t xml:space="preserve">gegenüber</w:t>
      </w:r>
      <w:r>
        <w:t xml:space="preserve"> </w:t>
      </w:r>
      <w:r>
        <w:rPr>
          <w:rStyle w:val="VerbatimChar"/>
        </w:rPr>
        <w:t xml:space="preserve">TeX</w:t>
      </w:r>
      <w:r>
        <w:t xml:space="preserve">:</w:t>
      </w:r>
    </w:p>
    <w:p>
      <w:pPr>
        <w:numPr>
          <w:ilvl w:val="0"/>
          <w:numId w:val="1023"/>
        </w:numPr>
        <w:pStyle w:val="Compact"/>
      </w:pPr>
      <w:r>
        <w:t xml:space="preserve">Zugänglichkeit:</w:t>
      </w:r>
      <w:r>
        <w:t xml:space="preserve"> </w:t>
      </w:r>
      <w:r>
        <w:rPr>
          <w:rStyle w:val="VerbatimChar"/>
        </w:rPr>
        <w:t xml:space="preserve">Markdown</w:t>
      </w:r>
      <w:r>
        <w:t xml:space="preserve">-Code ist leicht lesbarer Text.</w:t>
      </w:r>
    </w:p>
    <w:p>
      <w:pPr>
        <w:pStyle w:val="FirstParagraph"/>
      </w:pPr>
      <w:r>
        <w:t xml:space="preserve">Im Vergleich zu anderen Auszeichnungssprachen:</w:t>
      </w:r>
    </w:p>
    <w:p>
      <w:pPr>
        <w:numPr>
          <w:ilvl w:val="0"/>
          <w:numId w:val="1024"/>
        </w:numPr>
        <w:pStyle w:val="Compact"/>
      </w:pPr>
      <w:r>
        <w:t xml:space="preserve">Die</w:t>
      </w:r>
      <w:r>
        <w:t xml:space="preserve"> </w:t>
      </w:r>
      <w:r>
        <w:rPr>
          <w:rStyle w:val="VerbatimChar"/>
        </w:rPr>
        <w:t xml:space="preserve">Markdown</w:t>
      </w:r>
      <w:r>
        <w:t xml:space="preserve">-Syntax ist einfacher als die</w:t>
      </w:r>
      <w:r>
        <w:t xml:space="preserve"> </w:t>
      </w:r>
      <w:r>
        <w:rPr>
          <w:rStyle w:val="VerbatimChar"/>
        </w:rPr>
        <w:t xml:space="preserve">(La)TeX</w:t>
      </w:r>
      <w:r>
        <w:t xml:space="preserve">-Syntax</w:t>
      </w:r>
      <w:r>
        <w:t xml:space="preserve"> </w:t>
      </w:r>
      <w:r>
        <w:t xml:space="preserve">(Selbst der Erfinder von</w:t>
      </w:r>
      <w:r>
        <w:t xml:space="preserve"> </w:t>
      </w:r>
      <w:r>
        <w:rPr>
          <w:rStyle w:val="VerbatimChar"/>
        </w:rPr>
        <w:t xml:space="preserve">TeX</w:t>
      </w:r>
      <w:r>
        <w:t xml:space="preserve">, Donald Knuth, ist erstaunt, dass es so lange gedauert hat, die Syntax von</w:t>
      </w:r>
      <w:r>
        <w:t xml:space="preserve"> </w:t>
      </w:r>
      <w:r>
        <w:rPr>
          <w:rStyle w:val="VerbatimChar"/>
        </w:rPr>
        <w:t xml:space="preserve">LaTeX</w:t>
      </w:r>
      <w:r>
        <w:t xml:space="preserve"> </w:t>
      </w:r>
      <w:r>
        <w:t xml:space="preserve">durch eine einfachere zu ersetzen).</w:t>
      </w:r>
    </w:p>
    <w:p>
      <w:pPr>
        <w:numPr>
          <w:ilvl w:val="0"/>
          <w:numId w:val="1024"/>
        </w:numPr>
        <w:pStyle w:val="Compact"/>
      </w:pPr>
      <w:r>
        <w:t xml:space="preserve">Insbesondere ist die</w:t>
      </w:r>
      <w:r>
        <w:t xml:space="preserve"> </w:t>
      </w:r>
      <w:r>
        <w:rPr>
          <w:rStyle w:val="VerbatimChar"/>
        </w:rPr>
        <w:t xml:space="preserve">Markdown</w:t>
      </w:r>
      <w:r>
        <w:t xml:space="preserve">-Syntax viel einfacher als die</w:t>
      </w:r>
      <w:r>
        <w:t xml:space="preserve"> </w:t>
      </w:r>
      <w:r>
        <w:rPr>
          <w:rStyle w:val="VerbatimChar"/>
        </w:rPr>
        <w:t xml:space="preserve">LaTeX Beamer</w:t>
      </w:r>
      <w:r>
        <w:t xml:space="preserve">-Syntax.</w:t>
      </w:r>
    </w:p>
    <w:p>
      <w:pPr>
        <w:numPr>
          <w:ilvl w:val="0"/>
          <w:numId w:val="1024"/>
        </w:numPr>
        <w:pStyle w:val="Compact"/>
      </w:pPr>
      <w:r>
        <w:t xml:space="preserve">Mathematische Formeln lassen sich in</w:t>
      </w:r>
      <w:r>
        <w:t xml:space="preserve"> </w:t>
      </w:r>
      <w:r>
        <w:rPr>
          <w:rStyle w:val="VerbatimChar"/>
        </w:rPr>
        <w:t xml:space="preserve">Markdown</w:t>
      </w:r>
      <w:r>
        <w:t xml:space="preserve"> </w:t>
      </w:r>
      <w:r>
        <w:t xml:space="preserve">leichter schreiben als in</w:t>
      </w:r>
      <w:r>
        <w:t xml:space="preserve"> </w:t>
      </w:r>
      <w:r>
        <w:rPr>
          <w:rStyle w:val="VerbatimChar"/>
        </w:rPr>
        <w:t xml:space="preserve">Word</w:t>
      </w:r>
      <w:r>
        <w:t xml:space="preserve"> </w:t>
      </w:r>
      <w:r>
        <w:t xml:space="preserve">oder</w:t>
      </w:r>
      <w:r>
        <w:t xml:space="preserve"> </w:t>
      </w:r>
      <w:r>
        <w:rPr>
          <w:rStyle w:val="VerbatimChar"/>
        </w:rPr>
        <w:t xml:space="preserve">Writer</w:t>
      </w:r>
      <w:r>
        <w:t xml:space="preserve">, und</w:t>
      </w:r>
    </w:p>
    <w:p>
      <w:pPr>
        <w:numPr>
          <w:ilvl w:val="0"/>
          <w:numId w:val="1024"/>
        </w:numPr>
        <w:pStyle w:val="Compact"/>
      </w:pPr>
      <w:r>
        <w:t xml:space="preserve">eignet sich besonders gut für kurze</w:t>
      </w:r>
      <w:r>
        <w:t xml:space="preserve"> </w:t>
      </w:r>
      <w:r>
        <w:rPr>
          <w:rStyle w:val="VerbatimChar"/>
        </w:rPr>
        <w:t xml:space="preserve">HTML</w:t>
      </w:r>
      <w:r>
        <w:t xml:space="preserve">-Dokumente wie Blog-Posts.</w:t>
      </w:r>
    </w:p>
    <w:bookmarkEnd w:id="56"/>
    <w:bookmarkStart w:id="57" w:name="nachteile-von-pandoc-gegenüber-tex"/>
    <w:p>
      <w:pPr>
        <w:pStyle w:val="Heading2"/>
      </w:pPr>
      <w:r>
        <w:t xml:space="preserve">Nachteile von</w:t>
      </w:r>
      <w:r>
        <w:t xml:space="preserve"> </w:t>
      </w:r>
      <w:r>
        <w:rPr>
          <w:rStyle w:val="VerbatimChar"/>
        </w:rPr>
        <w:t xml:space="preserve">Pandoc</w:t>
      </w:r>
      <w:r>
        <w:t xml:space="preserve"> </w:t>
      </w:r>
      <w:r>
        <w:t xml:space="preserve">gegenüber</w:t>
      </w:r>
      <w:r>
        <w:t xml:space="preserve"> </w:t>
      </w:r>
      <w:r>
        <w:rPr>
          <w:rStyle w:val="VerbatimChar"/>
        </w:rPr>
        <w:t xml:space="preserve">TeX</w:t>
      </w:r>
      <w:r>
        <w:t xml:space="preserve">:</w:t>
      </w:r>
    </w:p>
    <w:p>
      <w:pPr>
        <w:numPr>
          <w:ilvl w:val="0"/>
          <w:numId w:val="1025"/>
        </w:numPr>
        <w:pStyle w:val="Compact"/>
      </w:pPr>
      <w:r>
        <w:t xml:space="preserve">Funktionen, die spezifisch für eine Auszeichnungssprache sind, zu der</w:t>
      </w:r>
      <w:r>
        <w:t xml:space="preserve"> </w:t>
      </w:r>
      <w:r>
        <w:rPr>
          <w:rStyle w:val="VerbatimChar"/>
        </w:rPr>
        <w:t xml:space="preserve">pandoc</w:t>
      </w:r>
      <w:r>
        <w:t xml:space="preserve"> </w:t>
      </w:r>
      <w:r>
        <w:t xml:space="preserve">kompiliert,</w:t>
      </w:r>
    </w:p>
    <w:p>
      <w:pPr>
        <w:numPr>
          <w:ilvl w:val="1"/>
          <w:numId w:val="1026"/>
        </w:numPr>
        <w:pStyle w:val="Compact"/>
      </w:pPr>
      <w:r>
        <w:t xml:space="preserve">können in</w:t>
      </w:r>
      <w:r>
        <w:t xml:space="preserve"> </w:t>
      </w:r>
      <w:r>
        <w:rPr>
          <w:rStyle w:val="VerbatimChar"/>
        </w:rPr>
        <w:t xml:space="preserve">pandoc</w:t>
      </w:r>
      <w:r>
        <w:t xml:space="preserve"> </w:t>
      </w:r>
      <w:r>
        <w:t xml:space="preserve">nicht verwendet werden, oder</w:t>
      </w:r>
    </w:p>
    <w:p>
      <w:pPr>
        <w:numPr>
          <w:ilvl w:val="1"/>
          <w:numId w:val="1026"/>
        </w:numPr>
        <w:pStyle w:val="Compact"/>
      </w:pPr>
      <w:r>
        <w:t xml:space="preserve">können nur unter Verlust der Konvertierbarkeit in andere Sprachen verwendet werden.</w:t>
      </w:r>
      <w:r>
        <w:t xml:space="preserve"> </w:t>
      </w:r>
      <w:r>
        <w:t xml:space="preserve">(</w:t>
      </w:r>
      <m:oMath>
        <m:r>
          <m:rPr>
            <m:sty m:val="p"/>
          </m:rPr>
          <m:t>⟹</m:t>
        </m:r>
      </m:oMath>
      <w:r>
        <w:t xml:space="preserve"> </w:t>
      </w:r>
      <w:r>
        <w:t xml:space="preserve">die Syntax von</w:t>
      </w:r>
      <w:r>
        <w:t xml:space="preserve"> </w:t>
      </w:r>
      <w:r>
        <w:rPr>
          <w:rStyle w:val="VerbatimChar"/>
        </w:rPr>
        <w:t xml:space="preserve">Markdown</w:t>
      </w:r>
      <w:r>
        <w:t xml:space="preserve"> </w:t>
      </w:r>
      <w:r>
        <w:t xml:space="preserve">ist so eingeschränkt wie die gemeinsame Basis unter all seinen Ausgabesprachen)</w:t>
      </w:r>
      <w:r>
        <w:t xml:space="preserve"> </w:t>
      </w:r>
    </w:p>
    <w:p>
      <w:pPr>
        <w:pStyle w:val="FirstParagraph"/>
      </w:pPr>
      <w:r>
        <w:t xml:space="preserve">. . .</w:t>
      </w:r>
    </w:p>
    <w:p>
      <w:pPr>
        <w:numPr>
          <w:ilvl w:val="0"/>
          <w:numId w:val="1027"/>
        </w:numPr>
        <w:pStyle w:val="Compact"/>
      </w:pPr>
      <w:r>
        <w:t xml:space="preserve">Pandoc befindet sich noch in der Entwicklung, daher ist:</w:t>
      </w:r>
      <w:r>
        <w:t xml:space="preserve"> </w:t>
      </w:r>
    </w:p>
    <w:p>
      <w:pPr>
        <w:numPr>
          <w:ilvl w:val="1"/>
          <w:numId w:val="1028"/>
        </w:numPr>
        <w:pStyle w:val="Compact"/>
      </w:pPr>
      <w:r>
        <w:t xml:space="preserve">die Dokumentation unvollständig,</w:t>
      </w:r>
    </w:p>
    <w:p>
      <w:pPr>
        <w:numPr>
          <w:ilvl w:val="1"/>
          <w:numId w:val="1028"/>
        </w:numPr>
        <w:pStyle w:val="Compact"/>
      </w:pPr>
      <w:r>
        <w:t xml:space="preserve">das Ökosystem der</w:t>
      </w:r>
      <w:r>
        <w:t xml:space="preserve"> </w:t>
      </w:r>
      <w:r>
        <w:rPr>
          <w:rStyle w:val="VerbatimChar"/>
        </w:rPr>
        <w:t xml:space="preserve">Pandoc</w:t>
      </w:r>
      <w:r>
        <w:t xml:space="preserve">-Programme, wie z.B. Editoren, noch unvollständig.</w:t>
      </w:r>
      <w:r>
        <w:t xml:space="preserve"> </w:t>
      </w:r>
      <w:r>
        <w:t xml:space="preserve">Im Vergleich zu</w:t>
      </w:r>
      <w:r>
        <w:t xml:space="preserve"> </w:t>
      </w:r>
      <w:r>
        <w:rPr>
          <w:rStyle w:val="VerbatimChar"/>
        </w:rPr>
        <w:t xml:space="preserve">TeX</w:t>
      </w:r>
      <w:r>
        <w:t xml:space="preserve">:</w:t>
      </w:r>
    </w:p>
    <w:p>
      <w:pPr>
        <w:numPr>
          <w:ilvl w:val="2"/>
          <w:numId w:val="1029"/>
        </w:numPr>
        <w:pStyle w:val="Compact"/>
      </w:pPr>
      <w:r>
        <w:t xml:space="preserve">kann man nicht von der Cursorposition in der</w:t>
      </w:r>
      <w:r>
        <w:t xml:space="preserve"> </w:t>
      </w:r>
      <w:r>
        <w:rPr>
          <w:rStyle w:val="VerbatimChar"/>
        </w:rPr>
        <w:t xml:space="preserve">Markdown</w:t>
      </w:r>
      <w:r>
        <w:t xml:space="preserve">-Datei zur entsprechenden Position in der kompilierten</w:t>
      </w:r>
      <w:r>
        <w:t xml:space="preserve"> </w:t>
      </w:r>
      <w:r>
        <w:rPr>
          <w:rStyle w:val="VerbatimChar"/>
        </w:rPr>
        <w:t xml:space="preserve">PDF</w:t>
      </w:r>
      <w:r>
        <w:t xml:space="preserve">-Datei springen; und umgekehrt.</w:t>
      </w:r>
      <w:r>
        <w:t xml:space="preserve"> </w:t>
      </w:r>
    </w:p>
    <w:p>
      <w:pPr>
        <w:numPr>
          <w:ilvl w:val="2"/>
          <w:numId w:val="1029"/>
        </w:numPr>
        <w:pStyle w:val="Compact"/>
      </w:pPr>
      <w:r>
        <w:t xml:space="preserve">Die Erweiterungen für</w:t>
      </w:r>
      <w:r>
        <w:t xml:space="preserve"> </w:t>
      </w:r>
      <w:r>
        <w:rPr>
          <w:rStyle w:val="VerbatimChar"/>
        </w:rPr>
        <w:t xml:space="preserve">Markdown</w:t>
      </w:r>
      <w:r>
        <w:t xml:space="preserve"> </w:t>
      </w:r>
      <w:r>
        <w:t xml:space="preserve">sind neuer und simpler im Vergleich zu denen für</w:t>
      </w:r>
      <w:r>
        <w:t xml:space="preserve"> </w:t>
      </w:r>
      <w:r>
        <w:rPr>
          <w:rStyle w:val="VerbatimChar"/>
        </w:rPr>
        <w:t xml:space="preserve">TeX</w:t>
      </w:r>
      <w:r>
        <w:t xml:space="preserve">, die erprobt und mächtig sind.</w:t>
      </w:r>
    </w:p>
    <w:bookmarkEnd w:id="57"/>
    <w:bookmarkEnd w:id="58"/>
    <w:bookmarkStart w:id="79" w:name="latex-syntax"/>
    <w:p>
      <w:pPr>
        <w:pStyle w:val="Heading1"/>
      </w:pPr>
      <w:r>
        <w:t xml:space="preserve">LaTeX-Syntax</w:t>
      </w:r>
    </w:p>
    <w:bookmarkStart w:id="62" w:name="section-6"/>
    <w:p>
      <w:pPr>
        <w:pStyle w:val="Heading2"/>
      </w:pPr>
    </w:p>
    <w:p>
      <w:pPr>
        <w:pStyle w:val="CaptionedFigure"/>
      </w:pPr>
      <w:r>
        <w:drawing>
          <wp:inline>
            <wp:extent cx="5334000" cy="4024214"/>
            <wp:effectExtent b="0" l="0" r="0" t="0"/>
            <wp:docPr descr="Spickzettel einiger Befehle für Formeln in LaTeX" title="" id="60" name="Picture"/>
            <a:graphic>
              <a:graphicData uri="http://schemas.openxmlformats.org/drawingml/2006/picture">
                <pic:pic>
                  <pic:nvPicPr>
                    <pic:cNvPr descr="./images/latex_math_cheatsheet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242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Spickzettel einiger Befehle für Formeln in</w:t>
      </w:r>
      <w:r>
        <w:t xml:space="preserve"> </w:t>
      </w:r>
      <w:r>
        <w:rPr>
          <w:rStyle w:val="VerbatimChar"/>
        </w:rPr>
        <w:t xml:space="preserve">LaTeX</w:t>
      </w:r>
    </w:p>
    <w:bookmarkEnd w:id="62"/>
    <w:bookmarkStart w:id="67" w:name="section-7"/>
    <w:p>
      <w:pPr>
        <w:pStyle w:val="Heading2"/>
      </w:pPr>
    </w:p>
    <w:p>
      <w:pPr>
        <w:pStyle w:val="CaptionedFigure"/>
      </w:pPr>
      <w:r>
        <w:drawing>
          <wp:inline>
            <wp:extent cx="5334000" cy="2998020"/>
            <wp:effectExtent b="0" l="0" r="0" t="0"/>
            <wp:docPr descr="Die Seite http://detexify.kirelabs.org/classify.html findet zu einer Zeichnung eines LaTeX-Symbol den erzeugenden Befehl" title="" id="64" name="Picture"/>
            <a:graphic>
              <a:graphicData uri="http://schemas.openxmlformats.org/drawingml/2006/picture">
                <pic:pic>
                  <pic:nvPicPr>
                    <pic:cNvPr descr="./images/detexify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980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Die Seite</w:t>
      </w:r>
      <w:r>
        <w:t xml:space="preserve"> </w:t>
      </w:r>
      <w:hyperlink r:id="rId66">
        <w:r>
          <w:rPr>
            <w:rStyle w:val="Hyperlink"/>
          </w:rPr>
          <w:t xml:space="preserve">http://detexify.kirelabs.org/classify.html</w:t>
        </w:r>
      </w:hyperlink>
      <w:r>
        <w:t xml:space="preserve"> </w:t>
      </w:r>
      <w:r>
        <w:t xml:space="preserve">findet zu einer Zeichnung eines</w:t>
      </w:r>
      <w:r>
        <w:t xml:space="preserve"> </w:t>
      </w:r>
      <w:r>
        <w:rPr>
          <w:rStyle w:val="VerbatimChar"/>
        </w:rPr>
        <w:t xml:space="preserve">LaTeX</w:t>
      </w:r>
      <w:r>
        <w:t xml:space="preserve">-Symbol den erzeugenden Befehl</w:t>
      </w:r>
    </w:p>
    <w:bookmarkEnd w:id="67"/>
    <w:bookmarkStart w:id="68" w:name="liste-und-aufzählung"/>
    <w:p>
      <w:pPr>
        <w:pStyle w:val="Heading2"/>
      </w:pPr>
      <w:r>
        <w:t xml:space="preserve">Liste und Aufzählung</w:t>
      </w:r>
    </w:p>
    <w:p>
      <w:pPr>
        <w:pStyle w:val="SourceCode"/>
      </w:pPr>
      <w:r>
        <w:rPr>
          <w:rStyle w:val="KeywordTok"/>
        </w:rPr>
        <w:t xml:space="preserve">\section</w:t>
      </w:r>
      <w:r>
        <w:rPr>
          <w:rStyle w:val="NormalTok"/>
        </w:rPr>
        <w:t xml:space="preserve">{Hervorgehobene Auflistung:}</w:t>
      </w:r>
      <w:r>
        <w:br/>
      </w:r>
      <w:r>
        <w:br/>
      </w:r>
      <w:r>
        <w:rPr>
          <w:rStyle w:val="KeywordTok"/>
        </w:rPr>
        <w:t xml:space="preserve">\begin</w:t>
      </w:r>
      <w:r>
        <w:rPr>
          <w:rStyle w:val="NormalTok"/>
        </w:rPr>
        <w:t xml:space="preserve">{</w:t>
      </w:r>
      <w:r>
        <w:rPr>
          <w:rStyle w:val="ExtensionTok"/>
        </w:rPr>
        <w:t xml:space="preserve">itemize</w:t>
      </w:r>
      <w:r>
        <w:rPr>
          <w:rStyle w:val="NormalTok"/>
        </w:rPr>
        <w:t xml:space="preserve">}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\item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\emph</w:t>
      </w:r>
      <w:r>
        <w:rPr>
          <w:rStyle w:val="NormalTok"/>
        </w:rPr>
        <w:t xml:space="preserve">{weight}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\item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\emph</w:t>
      </w:r>
      <w:r>
        <w:rPr>
          <w:rStyle w:val="NormalTok"/>
        </w:rPr>
        <w:t xml:space="preserve">{height}</w:t>
      </w:r>
      <w:r>
        <w:br/>
      </w:r>
      <w:r>
        <w:rPr>
          <w:rStyle w:val="KeywordTok"/>
        </w:rPr>
        <w:t xml:space="preserve">\end</w:t>
      </w:r>
      <w:r>
        <w:rPr>
          <w:rStyle w:val="NormalTok"/>
        </w:rPr>
        <w:t xml:space="preserve">{</w:t>
      </w:r>
      <w:r>
        <w:rPr>
          <w:rStyle w:val="ExtensionTok"/>
        </w:rPr>
        <w:t xml:space="preserve">itemize</w:t>
      </w:r>
      <w:r>
        <w:rPr>
          <w:rStyle w:val="NormalTok"/>
        </w:rPr>
        <w:t xml:space="preserve">}</w:t>
      </w:r>
      <w:r>
        <w:br/>
      </w:r>
      <w:r>
        <w:br/>
      </w:r>
      <w:r>
        <w:rPr>
          <w:rStyle w:val="KeywordTok"/>
        </w:rPr>
        <w:t xml:space="preserve">\section</w:t>
      </w:r>
      <w:r>
        <w:rPr>
          <w:rStyle w:val="NormalTok"/>
        </w:rPr>
        <w:t xml:space="preserve">{Fettgedruckte Aufgelistung:}</w:t>
      </w:r>
      <w:r>
        <w:br/>
      </w:r>
      <w:r>
        <w:br/>
      </w:r>
      <w:r>
        <w:rPr>
          <w:rStyle w:val="KeywordTok"/>
        </w:rPr>
        <w:t xml:space="preserve">\begin</w:t>
      </w:r>
      <w:r>
        <w:rPr>
          <w:rStyle w:val="NormalTok"/>
        </w:rPr>
        <w:t xml:space="preserve">{</w:t>
      </w:r>
      <w:r>
        <w:rPr>
          <w:rStyle w:val="ExtensionTok"/>
        </w:rPr>
        <w:t xml:space="preserve">enumerate</w:t>
      </w:r>
      <w:r>
        <w:rPr>
          <w:rStyle w:val="NormalTok"/>
        </w:rPr>
        <w:t xml:space="preserve">}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\item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\textbf</w:t>
      </w:r>
      <w:r>
        <w:rPr>
          <w:rStyle w:val="NormalTok"/>
        </w:rPr>
        <w:t xml:space="preserve">{mother}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\item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\textbf</w:t>
      </w:r>
      <w:r>
        <w:rPr>
          <w:rStyle w:val="NormalTok"/>
        </w:rPr>
        <w:t xml:space="preserve">{father}</w:t>
      </w:r>
      <w:r>
        <w:br/>
      </w:r>
      <w:r>
        <w:rPr>
          <w:rStyle w:val="KeywordTok"/>
        </w:rPr>
        <w:t xml:space="preserve">\end</w:t>
      </w:r>
      <w:r>
        <w:rPr>
          <w:rStyle w:val="NormalTok"/>
        </w:rPr>
        <w:t xml:space="preserve">{</w:t>
      </w:r>
      <w:r>
        <w:rPr>
          <w:rStyle w:val="ExtensionTok"/>
        </w:rPr>
        <w:t xml:space="preserve">enumerate</w:t>
      </w:r>
      <w:r>
        <w:rPr>
          <w:rStyle w:val="NormalTok"/>
        </w:rPr>
        <w:t xml:space="preserve">}</w:t>
      </w:r>
    </w:p>
    <w:bookmarkEnd w:id="68"/>
    <w:bookmarkStart w:id="69" w:name="tabelle-1"/>
    <w:p>
      <w:pPr>
        <w:pStyle w:val="Heading2"/>
      </w:pPr>
      <w:r>
        <w:t xml:space="preserve">Tabelle</w:t>
      </w:r>
    </w:p>
    <w:p>
      <w:pPr>
        <w:pStyle w:val="SourceCode"/>
      </w:pPr>
      <w:r>
        <w:rPr>
          <w:rStyle w:val="KeywordTok"/>
        </w:rPr>
        <w:t xml:space="preserve">\section</w:t>
      </w:r>
      <w:r>
        <w:rPr>
          <w:rStyle w:val="NormalTok"/>
        </w:rPr>
        <w:t xml:space="preserve">{Table}</w:t>
      </w:r>
      <w:r>
        <w:br/>
      </w:r>
      <w:r>
        <w:br/>
      </w:r>
      <w:r>
        <w:rPr>
          <w:rStyle w:val="KeywordTok"/>
        </w:rPr>
        <w:t xml:space="preserve">\begin</w:t>
      </w:r>
      <w:r>
        <w:rPr>
          <w:rStyle w:val="NormalTok"/>
        </w:rPr>
        <w:t xml:space="preserve">{</w:t>
      </w:r>
      <w:r>
        <w:rPr>
          <w:rStyle w:val="ExtensionTok"/>
        </w:rPr>
        <w:t xml:space="preserve">longtable</w:t>
      </w:r>
      <w:r>
        <w:rPr>
          <w:rStyle w:val="NormalTok"/>
        </w:rPr>
        <w:t xml:space="preserve">}[]{</w:t>
      </w:r>
      <w:r>
        <w:rPr>
          <w:rStyle w:val="CharTok"/>
        </w:rPr>
        <w:t xml:space="preserve">@{}</w:t>
      </w:r>
      <w:r>
        <w:rPr>
          <w:rStyle w:val="NormalTok"/>
        </w:rPr>
        <w:t xml:space="preserve">lll</w:t>
      </w:r>
      <w:r>
        <w:rPr>
          <w:rStyle w:val="CharTok"/>
        </w:rPr>
        <w:t xml:space="preserve">@{}</w:t>
      </w:r>
      <w:r>
        <w:rPr>
          <w:rStyle w:val="NormalTok"/>
        </w:rPr>
        <w:t xml:space="preserve">}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\toprule</w:t>
      </w:r>
      <w:r>
        <w:br/>
      </w:r>
      <w:r>
        <w:rPr>
          <w:rStyle w:val="NormalTok"/>
        </w:rPr>
        <w:t xml:space="preserve">         </w:t>
      </w:r>
      <w:r>
        <w:rPr>
          <w:rStyle w:val="OperatorTok"/>
        </w:rPr>
        <w:t xml:space="preserve">&amp;</w:t>
      </w:r>
      <w:r>
        <w:rPr>
          <w:rStyle w:val="NormalTok"/>
        </w:rPr>
        <w:t xml:space="preserve"> Mutter </w:t>
      </w:r>
      <w:r>
        <w:rPr>
          <w:rStyle w:val="OperatorTok"/>
        </w:rPr>
        <w:t xml:space="preserve">&amp;</w:t>
      </w:r>
      <w:r>
        <w:rPr>
          <w:rStyle w:val="NormalTok"/>
        </w:rPr>
        <w:t xml:space="preserve"> Vater </w:t>
      </w:r>
      <w:r>
        <w:rPr>
          <w:rStyle w:val="FunctionTok"/>
        </w:rPr>
        <w:t xml:space="preserve">\tabularnewline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\midrule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\endhead</w:t>
      </w:r>
      <w:r>
        <w:br/>
      </w:r>
      <w:r>
        <w:rPr>
          <w:rStyle w:val="NormalTok"/>
        </w:rPr>
        <w:t xml:space="preserve">  Gewicht </w:t>
      </w:r>
      <w:r>
        <w:rPr>
          <w:rStyle w:val="OperatorTok"/>
        </w:rPr>
        <w:t xml:space="preserve">&amp;</w:t>
      </w:r>
      <w:r>
        <w:rPr>
          <w:rStyle w:val="NormalTok"/>
        </w:rPr>
        <w:t xml:space="preserve"> 100 kg </w:t>
      </w:r>
      <w:r>
        <w:rPr>
          <w:rStyle w:val="OperatorTok"/>
        </w:rPr>
        <w:t xml:space="preserve">&amp;</w:t>
      </w:r>
      <w:r>
        <w:rPr>
          <w:rStyle w:val="NormalTok"/>
        </w:rPr>
        <w:t xml:space="preserve"> 200 kg</w:t>
      </w:r>
      <w:r>
        <w:rPr>
          <w:rStyle w:val="FunctionTok"/>
        </w:rPr>
        <w:t xml:space="preserve">\tabularnewline</w:t>
      </w:r>
      <w:r>
        <w:br/>
      </w:r>
      <w:r>
        <w:rPr>
          <w:rStyle w:val="NormalTok"/>
        </w:rPr>
        <w:t xml:space="preserve">  Höhe </w:t>
      </w:r>
      <w:r>
        <w:rPr>
          <w:rStyle w:val="OperatorTok"/>
        </w:rPr>
        <w:t xml:space="preserve">&amp;</w:t>
      </w:r>
      <w:r>
        <w:rPr>
          <w:rStyle w:val="NormalTok"/>
        </w:rPr>
        <w:t xml:space="preserve"> 1,20 m </w:t>
      </w:r>
      <w:r>
        <w:rPr>
          <w:rStyle w:val="OperatorTok"/>
        </w:rPr>
        <w:t xml:space="preserve">&amp;</w:t>
      </w:r>
      <w:r>
        <w:rPr>
          <w:rStyle w:val="NormalTok"/>
        </w:rPr>
        <w:t xml:space="preserve"> 2,10 m</w:t>
      </w:r>
      <w:r>
        <w:rPr>
          <w:rStyle w:val="FunctionTok"/>
        </w:rPr>
        <w:t xml:space="preserve">\tabularnewline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\bottomrule</w:t>
      </w:r>
      <w:r>
        <w:br/>
      </w:r>
      <w:r>
        <w:rPr>
          <w:rStyle w:val="KeywordTok"/>
        </w:rPr>
        <w:t xml:space="preserve">\end</w:t>
      </w:r>
      <w:r>
        <w:rPr>
          <w:rStyle w:val="NormalTok"/>
        </w:rPr>
        <w:t xml:space="preserve">{</w:t>
      </w:r>
      <w:r>
        <w:rPr>
          <w:rStyle w:val="ExtensionTok"/>
        </w:rPr>
        <w:t xml:space="preserve">longtable</w:t>
      </w:r>
      <w:r>
        <w:rPr>
          <w:rStyle w:val="NormalTok"/>
        </w:rPr>
        <w:t xml:space="preserve">}</w:t>
      </w:r>
    </w:p>
    <w:p>
      <w:pPr>
        <w:pStyle w:val="FirstParagraph"/>
      </w:pPr>
      <m:oMath>
        <m:r>
          <m:t>l</m:t>
        </m:r>
        <m:r>
          <m:t>e</m:t>
        </m:r>
        <m:r>
          <m:t>a</m:t>
        </m:r>
        <m:r>
          <m:t>d</m:t>
        </m:r>
        <m:r>
          <m:t>s</m:t>
        </m:r>
        <m:r>
          <m:t>t</m:t>
        </m:r>
        <m:r>
          <m:t>o</m:t>
        </m:r>
      </m:oMath>
    </w:p>
    <w:bookmarkEnd w:id="69"/>
    <w:bookmarkStart w:id="72" w:name="section-8"/>
    <w:p>
      <w:pPr>
        <w:pStyle w:val="Heading2"/>
      </w:pPr>
    </w:p>
    <w:bookmarkStart w:id="70" w:name="hervorgehobene-auflistung-1"/>
    <w:p>
      <w:pPr>
        <w:pStyle w:val="Heading3"/>
      </w:pPr>
      <w:r>
        <w:t xml:space="preserve">Hervorgehobene Auflistung:</w:t>
      </w:r>
    </w:p>
    <w:p>
      <w:pPr>
        <w:numPr>
          <w:ilvl w:val="0"/>
          <w:numId w:val="1030"/>
        </w:numPr>
        <w:pStyle w:val="Compact"/>
      </w:pPr>
      <w:r>
        <w:rPr>
          <w:iCs/>
          <w:i/>
        </w:rPr>
        <w:t xml:space="preserve">Gewicht</w:t>
      </w:r>
    </w:p>
    <w:p>
      <w:pPr>
        <w:numPr>
          <w:ilvl w:val="0"/>
          <w:numId w:val="1030"/>
        </w:numPr>
        <w:pStyle w:val="Compact"/>
      </w:pPr>
      <w:r>
        <w:rPr>
          <w:iCs/>
          <w:i/>
        </w:rPr>
        <w:t xml:space="preserve">Höhe</w:t>
      </w:r>
    </w:p>
    <w:bookmarkEnd w:id="70"/>
    <w:bookmarkStart w:id="71" w:name="fettgedruckte-auflistung-1"/>
    <w:p>
      <w:pPr>
        <w:pStyle w:val="Heading3"/>
      </w:pPr>
      <w:r>
        <w:t xml:space="preserve">Fettgedruckte Auflistung:</w:t>
      </w:r>
    </w:p>
    <w:p>
      <w:pPr>
        <w:numPr>
          <w:ilvl w:val="0"/>
          <w:numId w:val="1031"/>
        </w:numPr>
        <w:pStyle w:val="Compact"/>
      </w:pPr>
      <w:r>
        <w:rPr>
          <w:bCs/>
          <w:b/>
        </w:rPr>
        <w:t xml:space="preserve">Mutter</w:t>
      </w:r>
    </w:p>
    <w:p>
      <w:pPr>
        <w:numPr>
          <w:ilvl w:val="0"/>
          <w:numId w:val="1031"/>
        </w:numPr>
        <w:pStyle w:val="Compact"/>
      </w:pPr>
      <w:r>
        <w:rPr>
          <w:bCs/>
          <w:b/>
        </w:rPr>
        <w:t xml:space="preserve">Vater</w:t>
      </w:r>
    </w:p>
    <w:bookmarkEnd w:id="71"/>
    <w:bookmarkEnd w:id="72"/>
    <w:bookmarkStart w:id="73" w:name="tabelle-2"/>
    <w:p>
      <w:pPr>
        <w:pStyle w:val="Heading2"/>
      </w:pPr>
      <w:r>
        <w:t xml:space="preserve">Tabelle</w:t>
      </w:r>
    </w:p>
    <w:tbl>
      <w:tblPr>
        <w:tblStyle w:val="Table"/>
        <w:tblW w:type="auto" w:w="0"/>
        <w:tblLook w:firstRow="1" w:lastRow="0" w:firstColumn="0" w:lastColumn="0" w:noHBand="0" w:noVBand="0" w:val="0020"/>
        <w:jc w:val="start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t xml:space="preserve">Mutter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Vater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Gewicht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100 kg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200 kg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Höhe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1,20 m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2,10 m</w:t>
            </w:r>
          </w:p>
        </w:tc>
      </w:tr>
    </w:tbl>
    <w:bookmarkEnd w:id="73"/>
    <w:bookmarkStart w:id="74" w:name="formeln"/>
    <w:p>
      <w:pPr>
        <w:pStyle w:val="Heading2"/>
      </w:pPr>
      <w:r>
        <w:t xml:space="preserve">Formeln</w:t>
      </w:r>
    </w:p>
    <w:p>
      <w:pPr>
        <w:pStyle w:val="SourceCode"/>
      </w:pPr>
      <w:r>
        <w:rPr>
          <w:rStyle w:val="KeywordTok"/>
        </w:rPr>
        <w:t xml:space="preserve">\begin</w:t>
      </w:r>
      <w:r>
        <w:rPr>
          <w:rStyle w:val="NormalTok"/>
        </w:rPr>
        <w:t xml:space="preserve">{</w:t>
      </w:r>
      <w:r>
        <w:rPr>
          <w:rStyle w:val="ExtensionTok"/>
        </w:rPr>
        <w:t xml:space="preserve">bmatrix</w:t>
      </w:r>
      <w:r>
        <w:rPr>
          <w:rStyle w:val="NormalTok"/>
        </w:rPr>
        <w:t xml:space="preserve">}</w:t>
      </w:r>
      <w:r>
        <w:br/>
      </w:r>
      <w:r>
        <w:rPr>
          <w:rStyle w:val="SpecialStringTok"/>
        </w:rPr>
        <w:t xml:space="preserve">    x_{11} &amp; x_{12} &amp; x_{13} &amp; </w:t>
      </w:r>
      <w:r>
        <w:rPr>
          <w:rStyle w:val="SpecialCharTok"/>
        </w:rPr>
        <w:t xml:space="preserve">\ldots</w:t>
      </w:r>
      <w:r>
        <w:rPr>
          <w:rStyle w:val="SpecialStringTok"/>
        </w:rPr>
        <w:t xml:space="preserve"> &amp; x_{1n} </w:t>
      </w:r>
      <w:r>
        <w:rPr>
          <w:rStyle w:val="SpecialCharTok"/>
        </w:rPr>
        <w:t xml:space="preserve">\\</w:t>
      </w:r>
      <w:r>
        <w:br/>
      </w:r>
      <w:r>
        <w:rPr>
          <w:rStyle w:val="SpecialStringTok"/>
        </w:rPr>
        <w:t xml:space="preserve">    x_{21} &amp; x_{22} &amp; x_{23} &amp; </w:t>
      </w:r>
      <w:r>
        <w:rPr>
          <w:rStyle w:val="SpecialCharTok"/>
        </w:rPr>
        <w:t xml:space="preserve">\ldots</w:t>
      </w:r>
      <w:r>
        <w:rPr>
          <w:rStyle w:val="SpecialStringTok"/>
        </w:rPr>
        <w:t xml:space="preserve"> &amp; x_{2n} </w:t>
      </w:r>
      <w:r>
        <w:rPr>
          <w:rStyle w:val="SpecialCharTok"/>
        </w:rPr>
        <w:t xml:space="preserve">\\</w:t>
      </w:r>
      <w:r>
        <w:br/>
      </w:r>
      <w:r>
        <w:rPr>
          <w:rStyle w:val="SpecialStringTok"/>
        </w:rPr>
        <w:t xml:space="preserve">    </w:t>
      </w:r>
      <w:r>
        <w:rPr>
          <w:rStyle w:val="SpecialCharTok"/>
        </w:rPr>
        <w:t xml:space="preserve">\vdots</w:t>
      </w:r>
      <w:r>
        <w:rPr>
          <w:rStyle w:val="SpecialStringTok"/>
        </w:rPr>
        <w:t xml:space="preserve"> &amp; </w:t>
      </w:r>
      <w:r>
        <w:rPr>
          <w:rStyle w:val="SpecialCharTok"/>
        </w:rPr>
        <w:t xml:space="preserve">\vdots</w:t>
      </w:r>
      <w:r>
        <w:rPr>
          <w:rStyle w:val="SpecialStringTok"/>
        </w:rPr>
        <w:t xml:space="preserve"> &amp; </w:t>
      </w:r>
      <w:r>
        <w:rPr>
          <w:rStyle w:val="SpecialCharTok"/>
        </w:rPr>
        <w:t xml:space="preserve">\vdots</w:t>
      </w:r>
      <w:r>
        <w:rPr>
          <w:rStyle w:val="SpecialStringTok"/>
        </w:rPr>
        <w:t xml:space="preserve"> &amp; </w:t>
      </w:r>
      <w:r>
        <w:rPr>
          <w:rStyle w:val="SpecialCharTok"/>
        </w:rPr>
        <w:t xml:space="preserve">\vdots</w:t>
      </w:r>
      <w:r>
        <w:rPr>
          <w:rStyle w:val="SpecialStringTok"/>
        </w:rPr>
        <w:t xml:space="preserve"> </w:t>
      </w:r>
      <w:r>
        <w:rPr>
          <w:rStyle w:val="SpecialCharTok"/>
        </w:rPr>
        <w:t xml:space="preserve">\\</w:t>
      </w:r>
      <w:r>
        <w:br/>
      </w:r>
      <w:r>
        <w:rPr>
          <w:rStyle w:val="SpecialStringTok"/>
        </w:rPr>
        <w:t xml:space="preserve">    x_{d1} &amp; x_{d2} &amp; x_{d3} &amp; </w:t>
      </w:r>
      <w:r>
        <w:rPr>
          <w:rStyle w:val="SpecialCharTok"/>
        </w:rPr>
        <w:t xml:space="preserve">\ldots</w:t>
      </w:r>
      <w:r>
        <w:rPr>
          <w:rStyle w:val="SpecialStringTok"/>
        </w:rPr>
        <w:t xml:space="preserve"> &amp; x_{dn}</w:t>
      </w:r>
      <w:r>
        <w:br/>
      </w:r>
      <w:r>
        <w:rPr>
          <w:rStyle w:val="KeywordTok"/>
        </w:rPr>
        <w:t xml:space="preserve">\end</w:t>
      </w:r>
      <w:r>
        <w:rPr>
          <w:rStyle w:val="NormalTok"/>
        </w:rPr>
        <w:t xml:space="preserve">{</w:t>
      </w:r>
      <w:r>
        <w:rPr>
          <w:rStyle w:val="ExtensionTok"/>
        </w:rPr>
        <w:t xml:space="preserve">bmatrix</w:t>
      </w:r>
      <w:r>
        <w:rPr>
          <w:rStyle w:val="NormalTok"/>
        </w:rPr>
        <w:t xml:space="preserve">}</w:t>
      </w:r>
    </w:p>
    <w:p>
      <w:pPr>
        <w:pStyle w:val="FirstParagraph"/>
      </w:pPr>
      <m:oMath>
        <m:r>
          <m:rPr>
            <m:sty m:val="p"/>
          </m:rPr>
          <m:t>⤳</m:t>
        </m:r>
      </m:oMath>
    </w:p>
    <w:p>
      <w:pPr>
        <w:pStyle w:val="BodyText"/>
      </w:pPr>
      <m:oMathPara>
        <m:oMathParaPr>
          <m:jc m:val="center"/>
        </m:oMathParaPr>
        <m:oMath>
          <m:d>
            <m:dPr>
              <m:begChr m:val="["/>
              <m:endChr m:val="]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sSub>
                      <m:e>
                        <m:r>
                          <m:t>x</m:t>
                        </m:r>
                      </m:e>
                      <m:sub>
                        <m:r>
                          <m:t>11</m:t>
                        </m:r>
                      </m:sub>
                    </m:sSub>
                  </m:e>
                  <m:e>
                    <m:sSub>
                      <m:e>
                        <m:r>
                          <m:t>x</m:t>
                        </m:r>
                      </m:e>
                      <m:sub>
                        <m:r>
                          <m:t>12</m:t>
                        </m:r>
                      </m:sub>
                    </m:sSub>
                  </m:e>
                  <m:e>
                    <m:sSub>
                      <m:e>
                        <m:r>
                          <m:t>x</m:t>
                        </m:r>
                      </m:e>
                      <m:sub>
                        <m:r>
                          <m:t>13</m:t>
                        </m:r>
                      </m:sub>
                    </m:sSub>
                  </m:e>
                  <m:e>
                    <m:r>
                      <m:rPr>
                        <m:sty m:val="p"/>
                      </m:rPr>
                      <m:t>…</m:t>
                    </m:r>
                  </m:e>
                  <m:e>
                    <m:sSub>
                      <m:e>
                        <m:r>
                          <m:t>x</m:t>
                        </m:r>
                      </m:e>
                      <m:sub>
                        <m:r>
                          <m:t>1</m:t>
                        </m:r>
                        <m:r>
                          <m:t>n</m:t>
                        </m:r>
                      </m:sub>
                    </m:sSub>
                  </m:e>
                </m:mr>
                <m:mr>
                  <m:e>
                    <m:sSub>
                      <m:e>
                        <m:r>
                          <m:t>x</m:t>
                        </m:r>
                      </m:e>
                      <m:sub>
                        <m:r>
                          <m:t>21</m:t>
                        </m:r>
                      </m:sub>
                    </m:sSub>
                  </m:e>
                  <m:e>
                    <m:sSub>
                      <m:e>
                        <m:r>
                          <m:t>x</m:t>
                        </m:r>
                      </m:e>
                      <m:sub>
                        <m:r>
                          <m:t>22</m:t>
                        </m:r>
                      </m:sub>
                    </m:sSub>
                  </m:e>
                  <m:e>
                    <m:sSub>
                      <m:e>
                        <m:r>
                          <m:t>x</m:t>
                        </m:r>
                      </m:e>
                      <m:sub>
                        <m:r>
                          <m:t>23</m:t>
                        </m:r>
                      </m:sub>
                    </m:sSub>
                  </m:e>
                  <m:e>
                    <m:r>
                      <m:rPr>
                        <m:sty m:val="p"/>
                      </m:rPr>
                      <m:t>…</m:t>
                    </m:r>
                  </m:e>
                  <m:e>
                    <m:sSub>
                      <m:e>
                        <m:r>
                          <m:t>x</m:t>
                        </m:r>
                      </m:e>
                      <m:sub>
                        <m:r>
                          <m:t>2</m:t>
                        </m:r>
                        <m:r>
                          <m:t>n</m:t>
                        </m:r>
                      </m:sub>
                    </m:sSub>
                  </m:e>
                </m:mr>
                <m:mr>
                  <m:e>
                    <m:r>
                      <m:rPr>
                        <m:sty m:val="p"/>
                      </m:rPr>
                      <m:t>⋮</m:t>
                    </m:r>
                  </m:e>
                  <m:e>
                    <m:r>
                      <m:rPr>
                        <m:sty m:val="p"/>
                      </m:rPr>
                      <m:t>⋮</m:t>
                    </m:r>
                  </m:e>
                  <m:e>
                    <m:r>
                      <m:rPr>
                        <m:sty m:val="p"/>
                      </m:rPr>
                      <m:t>⋮</m:t>
                    </m:r>
                  </m:e>
                  <m:e>
                    <m:r>
                      <m:rPr>
                        <m:sty m:val="p"/>
                      </m:rPr>
                      <m:t>⋮</m:t>
                    </m:r>
                  </m:e>
                </m:mr>
                <m:mr>
                  <m:e>
                    <m:sSub>
                      <m:e>
                        <m:r>
                          <m:t>x</m:t>
                        </m:r>
                      </m:e>
                      <m:sub>
                        <m:r>
                          <m:t>d</m:t>
                        </m:r>
                        <m:r>
                          <m:t>1</m:t>
                        </m:r>
                      </m:sub>
                    </m:sSub>
                  </m:e>
                  <m:e>
                    <m:sSub>
                      <m:e>
                        <m:r>
                          <m:t>x</m:t>
                        </m:r>
                      </m:e>
                      <m:sub>
                        <m:r>
                          <m:t>d</m:t>
                        </m:r>
                        <m:r>
                          <m:t>2</m:t>
                        </m:r>
                      </m:sub>
                    </m:sSub>
                  </m:e>
                  <m:e>
                    <m:sSub>
                      <m:e>
                        <m:r>
                          <m:t>x</m:t>
                        </m:r>
                      </m:e>
                      <m:sub>
                        <m:r>
                          <m:t>d</m:t>
                        </m:r>
                        <m:r>
                          <m:t>3</m:t>
                        </m:r>
                      </m:sub>
                    </m:sSub>
                  </m:e>
                  <m:e>
                    <m:r>
                      <m:rPr>
                        <m:sty m:val="p"/>
                      </m:rPr>
                      <m:t>…</m:t>
                    </m:r>
                  </m:e>
                  <m:e>
                    <m:sSub>
                      <m:e>
                        <m:r>
                          <m:t>x</m:t>
                        </m:r>
                      </m:e>
                      <m:sub>
                        <m:r>
                          <m:t>d</m:t>
                        </m:r>
                        <m:r>
                          <m:t>n</m:t>
                        </m:r>
                      </m:sub>
                    </m:sSub>
                  </m:e>
                </m:mr>
              </m:m>
            </m:e>
          </m:d>
        </m:oMath>
      </m:oMathPara>
    </w:p>
    <w:bookmarkEnd w:id="74"/>
    <w:bookmarkStart w:id="78" w:name="section-9"/>
    <w:p>
      <w:pPr>
        <w:pStyle w:val="Heading2"/>
      </w:pPr>
    </w:p>
    <w:p>
      <w:pPr>
        <w:pStyle w:val="CaptionedFigure"/>
      </w:pPr>
      <w:r>
        <w:drawing>
          <wp:inline>
            <wp:extent cx="4845377" cy="2988296"/>
            <wp:effectExtent b="0" l="0" r="0" t="0"/>
            <wp:docPr descr="Eine gute Einführung ist die “LaTeX-Kurzbeschreibung” von Oetiker u. a. (1995)" title="" id="76" name="Picture"/>
            <a:graphic>
              <a:graphicData uri="http://schemas.openxmlformats.org/drawingml/2006/picture">
                <pic:pic>
                  <pic:nvPicPr>
                    <pic:cNvPr descr="./images/latex-kurz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377" cy="29882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Eine gute Einführung ist die</w:t>
      </w:r>
      <w:r>
        <w:t xml:space="preserve"> </w:t>
      </w:r>
      <w:r>
        <w:t xml:space="preserve">“</w:t>
      </w:r>
      <w:r>
        <w:t xml:space="preserve">LaTeX-Kurzbeschreibung</w:t>
      </w:r>
      <w:r>
        <w:t xml:space="preserve">”</w:t>
      </w:r>
      <w:r>
        <w:t xml:space="preserve"> </w:t>
      </w:r>
      <w:r>
        <w:t xml:space="preserve">von</w:t>
      </w:r>
      <w:r>
        <w:t xml:space="preserve"> </w:t>
      </w:r>
      <w:r>
        <w:t xml:space="preserve">Oetiker u. a. (1995)</w:t>
      </w:r>
    </w:p>
    <w:bookmarkEnd w:id="78"/>
    <w:bookmarkEnd w:id="79"/>
    <w:bookmarkStart w:id="107" w:name="tex-editoren"/>
    <w:p>
      <w:pPr>
        <w:pStyle w:val="Heading1"/>
      </w:pPr>
      <w:r>
        <w:t xml:space="preserve">TeX-Editoren</w:t>
      </w:r>
    </w:p>
    <w:bookmarkStart w:id="80" w:name="tastatur-layout"/>
    <w:p>
      <w:pPr>
        <w:pStyle w:val="Heading2"/>
      </w:pPr>
      <w:r>
        <w:t xml:space="preserve">Tastatur-Layout</w:t>
      </w:r>
    </w:p>
    <w:p>
      <w:pPr>
        <w:numPr>
          <w:ilvl w:val="0"/>
          <w:numId w:val="1032"/>
        </w:numPr>
        <w:pStyle w:val="Compact"/>
      </w:pPr>
      <w:r>
        <w:rPr>
          <w:rStyle w:val="VerbatimChar"/>
        </w:rPr>
        <w:t xml:space="preserve">Deutsche Tastatur</w:t>
      </w:r>
      <w:r>
        <w:t xml:space="preserve"> </w:t>
      </w:r>
      <w:r>
        <w:t xml:space="preserve">hat</w:t>
      </w:r>
    </w:p>
    <w:p>
      <w:pPr>
        <w:numPr>
          <w:ilvl w:val="1"/>
          <w:numId w:val="1033"/>
        </w:numPr>
        <w:pStyle w:val="Compact"/>
      </w:pPr>
      <w:r>
        <w:rPr>
          <w:iCs/>
          <w:i/>
        </w:rPr>
        <w:t xml:space="preserve">tote Tasten</w:t>
      </w:r>
      <w:r>
        <w:t xml:space="preserve">:</w:t>
      </w:r>
      <w:r>
        <w:t xml:space="preserve"> </w:t>
      </w:r>
      <w:r>
        <w:t xml:space="preserve">Das</w:t>
      </w:r>
      <w:r>
        <w:t xml:space="preserve"> </w:t>
      </w:r>
      <w:r>
        <w:rPr>
          <w:bCs/>
          <w:b/>
        </w:rPr>
        <w:t xml:space="preserve">einfache</w:t>
      </w:r>
      <w:r>
        <w:t xml:space="preserve"> </w:t>
      </w:r>
      <w:r>
        <w:t xml:space="preserve">Tippen der Tasten</w:t>
      </w:r>
      <w:r>
        <w:t xml:space="preserve"> </w:t>
      </w:r>
      <w:r>
        <w:rPr>
          <w:rStyle w:val="VerbatimChar"/>
        </w:rPr>
        <w:t xml:space="preserve">'</w:t>
      </w:r>
      <w:r>
        <w:t xml:space="preserve">,</w:t>
      </w:r>
      <w:r>
        <w:t xml:space="preserve"> </w:t>
      </w:r>
      <w:r>
        <w:rPr>
          <w:rStyle w:val="VerbatimChar"/>
        </w:rPr>
        <w:t xml:space="preserve">^</w:t>
      </w:r>
      <w:r>
        <w:t xml:space="preserve"> </w:t>
      </w:r>
      <w:r>
        <w:t xml:space="preserve">und</w:t>
      </w:r>
      <w:r>
        <w:t xml:space="preserve"> </w:t>
      </w:r>
      <w:r>
        <w:rPr>
          <w:rStyle w:val="VerbatimChar"/>
        </w:rPr>
        <w:t xml:space="preserve">`</w:t>
      </w:r>
      <w:r>
        <w:t xml:space="preserve"> </w:t>
      </w:r>
      <w:r>
        <w:t xml:space="preserve">wird den</w:t>
      </w:r>
      <w:r>
        <w:t xml:space="preserve"> </w:t>
      </w:r>
      <w:r>
        <w:rPr>
          <w:bCs/>
          <w:b/>
        </w:rPr>
        <w:t xml:space="preserve">nächsten</w:t>
      </w:r>
      <w:r>
        <w:t xml:space="preserve"> </w:t>
      </w:r>
      <w:r>
        <w:t xml:space="preserve">getippten Vokal</w:t>
      </w:r>
      <w:r>
        <w:t xml:space="preserve"> </w:t>
      </w:r>
      <w:r>
        <w:rPr>
          <w:bCs/>
          <w:b/>
        </w:rPr>
        <w:t xml:space="preserve">akzentuiert</w:t>
      </w:r>
      <w:r>
        <w:t xml:space="preserve"> </w:t>
      </w:r>
      <w:r>
        <w:t xml:space="preserve">(anstatt das Zeichen zu erzeugen).</w:t>
      </w:r>
    </w:p>
    <w:p>
      <w:pPr>
        <w:numPr>
          <w:ilvl w:val="1"/>
          <w:numId w:val="1033"/>
        </w:numPr>
        <w:pStyle w:val="Compact"/>
      </w:pPr>
      <w:r>
        <w:t xml:space="preserve">deutsche Sonderzeichen anstelle in Programmiersprachen gebräuchlicher syntaktischer (Klammer)symbole.</w:t>
      </w:r>
    </w:p>
    <w:p>
      <w:pPr>
        <w:numPr>
          <w:ilvl w:val="0"/>
          <w:numId w:val="1032"/>
        </w:numPr>
        <w:pStyle w:val="Compact"/>
      </w:pPr>
      <w:r>
        <w:rPr>
          <w:rStyle w:val="VerbatimChar"/>
        </w:rPr>
        <w:t xml:space="preserve">AltGr-WEur</w:t>
      </w:r>
      <w:r>
        <w:t xml:space="preserve"> </w:t>
      </w:r>
      <w:r>
        <w:t xml:space="preserve">:</w:t>
      </w:r>
      <w:r>
        <w:t xml:space="preserve"> </w:t>
      </w:r>
      <w:r>
        <w:t xml:space="preserve">Dieselben Tasten wie bei der US-Tastatur.</w:t>
      </w:r>
      <w:r>
        <w:t xml:space="preserve"> </w:t>
      </w:r>
      <w:r>
        <w:t xml:space="preserve">Umlaute werden</w:t>
      </w:r>
      <w:r>
        <w:t xml:space="preserve"> </w:t>
      </w:r>
      <w:r>
        <w:rPr>
          <w:bCs/>
          <w:b/>
        </w:rPr>
        <w:t xml:space="preserve">gleichzeitiges</w:t>
      </w:r>
      <w:r>
        <w:t xml:space="preserve"> </w:t>
      </w:r>
      <w:r>
        <w:t xml:space="preserve">Drücken von</w:t>
      </w:r>
      <w:r>
        <w:t xml:space="preserve"> </w:t>
      </w:r>
      <w:r>
        <w:rPr>
          <w:rStyle w:val="VerbatimChar"/>
        </w:rPr>
        <w:t xml:space="preserve">AltGr</w:t>
      </w:r>
      <w:r>
        <w:t xml:space="preserve"> </w:t>
      </w:r>
      <w:r>
        <w:t xml:space="preserve">(=</w:t>
      </w:r>
      <w:r>
        <w:t xml:space="preserve"> </w:t>
      </w:r>
      <w:r>
        <w:rPr>
          <w:rStyle w:val="VerbatimChar"/>
        </w:rPr>
        <w:t xml:space="preserve">Alternate Graphics</w:t>
      </w:r>
      <w:r>
        <w:t xml:space="preserve">) und dem zugehören Vokal erzeugt und Akzente durch</w:t>
      </w:r>
      <w:r>
        <w:t xml:space="preserve"> </w:t>
      </w:r>
      <w:r>
        <w:rPr>
          <w:bCs/>
          <w:b/>
        </w:rPr>
        <w:t xml:space="preserve">gleichzeitiges</w:t>
      </w:r>
      <w:r>
        <w:t xml:space="preserve"> </w:t>
      </w:r>
      <w:r>
        <w:t xml:space="preserve">Drücken von</w:t>
      </w:r>
      <w:r>
        <w:t xml:space="preserve"> </w:t>
      </w:r>
      <w:r>
        <w:rPr>
          <w:rStyle w:val="VerbatimChar"/>
        </w:rPr>
        <w:t xml:space="preserve">AltGr</w:t>
      </w:r>
      <w:r>
        <w:t xml:space="preserve"> </w:t>
      </w:r>
      <w:r>
        <w:t xml:space="preserve">(=</w:t>
      </w:r>
      <w:r>
        <w:t xml:space="preserve"> </w:t>
      </w:r>
      <w:r>
        <w:rPr>
          <w:rStyle w:val="VerbatimChar"/>
        </w:rPr>
        <w:t xml:space="preserve">Alternate Graphics</w:t>
      </w:r>
      <w:r>
        <w:t xml:space="preserve">) und</w:t>
      </w:r>
      <w:r>
        <w:t xml:space="preserve"> </w:t>
      </w:r>
      <w:r>
        <w:rPr>
          <w:rStyle w:val="VerbatimChar"/>
        </w:rPr>
        <w:t xml:space="preserve">'</w:t>
      </w:r>
      <w:r>
        <w:t xml:space="preserve">,</w:t>
      </w:r>
      <w:r>
        <w:t xml:space="preserve"> </w:t>
      </w:r>
      <w:r>
        <w:rPr>
          <w:rStyle w:val="VerbatimChar"/>
        </w:rPr>
        <w:t xml:space="preserve">^</w:t>
      </w:r>
      <w:r>
        <w:t xml:space="preserve"> </w:t>
      </w:r>
      <w:r>
        <w:t xml:space="preserve">und</w:t>
      </w:r>
      <w:r>
        <w:t xml:space="preserve"> </w:t>
      </w:r>
      <w:r>
        <w:rPr>
          <w:rStyle w:val="VerbatimChar"/>
        </w:rPr>
        <w:t xml:space="preserve">`</w:t>
      </w:r>
      <w:r>
        <w:t xml:space="preserve">.</w:t>
      </w:r>
    </w:p>
    <w:p>
      <w:pPr>
        <w:pStyle w:val="FirstParagraph"/>
      </w:pPr>
      <w:r>
        <w:t xml:space="preserve">Ein amerikanisches Tastaturlayout erleichtert die Eingabe syntaktischer Symbole wie</w:t>
      </w:r>
      <w:r>
        <w:t xml:space="preserve"> </w:t>
      </w:r>
      <w:r>
        <w:rPr>
          <w:rStyle w:val="VerbatimChar"/>
        </w:rPr>
        <w:t xml:space="preserve">([{</w:t>
      </w:r>
      <w:r>
        <w:t xml:space="preserve"> </w:t>
      </w:r>
      <w:r>
        <w:t xml:space="preserve">und</w:t>
      </w:r>
      <w:r>
        <w:t xml:space="preserve"> </w:t>
      </w:r>
      <w:r>
        <w:rPr>
          <w:rStyle w:val="VerbatimChar"/>
        </w:rPr>
        <w:t xml:space="preserve">}])</w:t>
      </w:r>
      <w:r>
        <w:t xml:space="preserve">.</w:t>
      </w:r>
    </w:p>
    <w:bookmarkEnd w:id="80"/>
    <w:bookmarkStart w:id="84" w:name="section-10"/>
    <w:p>
      <w:pPr>
        <w:pStyle w:val="Heading2"/>
      </w:pPr>
    </w:p>
    <w:p>
      <w:pPr>
        <w:pStyle w:val="CaptionedFigure"/>
      </w:pPr>
      <w:r>
        <w:drawing>
          <wp:inline>
            <wp:extent cx="4429125" cy="2952750"/>
            <wp:effectExtent b="0" l="0" r="0" t="0"/>
            <wp:docPr descr="Lernkurven verschiedener Editoren" title="" id="82" name="Picture"/>
            <a:graphic>
              <a:graphicData uri="http://schemas.openxmlformats.org/drawingml/2006/picture">
                <pic:pic>
                  <pic:nvPicPr>
                    <pic:cNvPr descr="./images/curva.jp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Lernkurven verschiedener Editoren</w:t>
      </w:r>
    </w:p>
    <w:bookmarkEnd w:id="84"/>
    <w:bookmarkStart w:id="85" w:name="texstudio"/>
    <w:p>
      <w:pPr>
        <w:pStyle w:val="Heading2"/>
      </w:pPr>
      <w:r>
        <w:rPr>
          <w:rStyle w:val="VerbatimChar"/>
        </w:rPr>
        <w:t xml:space="preserve">TeXstudio</w:t>
      </w:r>
    </w:p>
    <w:p>
      <w:pPr>
        <w:numPr>
          <w:ilvl w:val="0"/>
          <w:numId w:val="1034"/>
        </w:numPr>
        <w:pStyle w:val="Compact"/>
      </w:pPr>
      <w:r>
        <w:t xml:space="preserve">Betriebssysteme: Linux, MS Windows, OS X und FreeBSD</w:t>
      </w:r>
    </w:p>
    <w:p>
      <w:pPr>
        <w:numPr>
          <w:ilvl w:val="0"/>
          <w:numId w:val="1034"/>
        </w:numPr>
        <w:pStyle w:val="Compact"/>
      </w:pPr>
      <w:r>
        <w:t xml:space="preserve">Lizenz: GPL v2</w:t>
      </w:r>
    </w:p>
    <w:p>
      <w:pPr>
        <w:numPr>
          <w:ilvl w:val="0"/>
          <w:numId w:val="1034"/>
        </w:numPr>
        <w:pStyle w:val="Compact"/>
      </w:pPr>
      <w:r>
        <w:t xml:space="preserve">Syntax-Hervorhebung</w:t>
      </w:r>
    </w:p>
    <w:p>
      <w:pPr>
        <w:numPr>
          <w:ilvl w:val="0"/>
          <w:numId w:val="1034"/>
        </w:numPr>
        <w:pStyle w:val="Compact"/>
      </w:pPr>
      <w:r>
        <w:t xml:space="preserve">Auto-Vervollständigung</w:t>
      </w:r>
    </w:p>
    <w:p>
      <w:pPr>
        <w:numPr>
          <w:ilvl w:val="0"/>
          <w:numId w:val="1034"/>
        </w:numPr>
        <w:pStyle w:val="Compact"/>
      </w:pPr>
      <w:r>
        <w:t xml:space="preserve">Code-Faltung</w:t>
      </w:r>
    </w:p>
    <w:p>
      <w:pPr>
        <w:numPr>
          <w:ilvl w:val="0"/>
          <w:numId w:val="1034"/>
        </w:numPr>
        <w:pStyle w:val="Compact"/>
      </w:pPr>
      <w:r>
        <w:rPr>
          <w:rStyle w:val="VerbatimChar"/>
        </w:rPr>
        <w:t xml:space="preserve">SyncTeX</w:t>
      </w:r>
      <w:r>
        <w:t xml:space="preserve">, um von der Cursorposition in der TeX-Datei zur entsprechenden Position in der kompilierten PDF-Datei zu springen und umgekehrt.</w:t>
      </w:r>
    </w:p>
    <w:p>
      <w:pPr>
        <w:numPr>
          <w:ilvl w:val="0"/>
          <w:numId w:val="1034"/>
        </w:numPr>
        <w:pStyle w:val="Compact"/>
      </w:pPr>
      <w:r>
        <w:t xml:space="preserve">Tabellen mit grafischen Symbolen</w:t>
      </w:r>
    </w:p>
    <w:p>
      <w:pPr>
        <w:numPr>
          <w:ilvl w:val="0"/>
          <w:numId w:val="1034"/>
        </w:numPr>
        <w:pStyle w:val="Compact"/>
      </w:pPr>
      <w:r>
        <w:t xml:space="preserve">Rechtschreibprüfung</w:t>
      </w:r>
    </w:p>
    <w:p>
      <w:pPr>
        <w:numPr>
          <w:ilvl w:val="0"/>
          <w:numId w:val="1034"/>
        </w:numPr>
        <w:pStyle w:val="Compact"/>
      </w:pPr>
      <w:r>
        <w:t xml:space="preserve">Grammatikprüfung durch</w:t>
      </w:r>
      <w:r>
        <w:t xml:space="preserve"> </w:t>
      </w:r>
      <w:r>
        <w:rPr>
          <w:rStyle w:val="VerbatimChar"/>
        </w:rPr>
        <w:t xml:space="preserve">LanguageTool</w:t>
      </w:r>
      <w:r>
        <w:t xml:space="preserve">.</w:t>
      </w:r>
    </w:p>
    <w:p>
      <w:pPr>
        <w:numPr>
          <w:ilvl w:val="0"/>
          <w:numId w:val="1034"/>
        </w:numPr>
        <w:pStyle w:val="Compact"/>
      </w:pPr>
      <w:r>
        <w:t xml:space="preserve">Tabellenformatierung</w:t>
      </w:r>
    </w:p>
    <w:p>
      <w:pPr>
        <w:numPr>
          <w:ilvl w:val="0"/>
          <w:numId w:val="1034"/>
        </w:numPr>
        <w:pStyle w:val="Compact"/>
      </w:pPr>
      <w:r>
        <w:t xml:space="preserve">Referenzvorschau</w:t>
      </w:r>
    </w:p>
    <w:p>
      <w:pPr>
        <w:numPr>
          <w:ilvl w:val="0"/>
          <w:numId w:val="1034"/>
        </w:numPr>
        <w:pStyle w:val="Compact"/>
      </w:pPr>
      <w:r>
        <w:t xml:space="preserve">Bilder Drag &amp; Drop</w:t>
      </w:r>
    </w:p>
    <w:bookmarkEnd w:id="85"/>
    <w:bookmarkStart w:id="89" w:name="section-11"/>
    <w:p>
      <w:pPr>
        <w:pStyle w:val="Heading2"/>
      </w:pPr>
    </w:p>
    <w:p>
      <w:pPr>
        <w:pStyle w:val="CaptionedFigure"/>
      </w:pPr>
      <w:r>
        <w:drawing>
          <wp:inline>
            <wp:extent cx="5334000" cy="4000500"/>
            <wp:effectExtent b="0" l="0" r="0" t="0"/>
            <wp:docPr descr="TeXstudios Features" title="" id="87" name="Picture"/>
            <a:graphic>
              <a:graphicData uri="http://schemas.openxmlformats.org/drawingml/2006/picture">
                <pic:pic>
                  <pic:nvPicPr>
                    <pic:cNvPr descr="./images/texstudio_recursos.jpe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TeXstudios Features</w:t>
      </w:r>
    </w:p>
    <w:bookmarkEnd w:id="89"/>
    <w:bookmarkStart w:id="93" w:name="section-12"/>
    <w:p>
      <w:pPr>
        <w:pStyle w:val="Heading2"/>
      </w:pPr>
    </w:p>
    <w:p>
      <w:pPr>
        <w:pStyle w:val="CaptionedFigure"/>
      </w:pPr>
      <w:r>
        <w:drawing>
          <wp:inline>
            <wp:extent cx="5334000" cy="4000500"/>
            <wp:effectExtent b="0" l="0" r="0" t="0"/>
            <wp:docPr descr="Fehlerbehebung im TeXstudio" title="" id="91" name="Picture"/>
            <a:graphic>
              <a:graphicData uri="http://schemas.openxmlformats.org/drawingml/2006/picture">
                <pic:pic>
                  <pic:nvPicPr>
                    <pic:cNvPr descr="./images/texstudio_error.jpe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Fehlerbehebung im</w:t>
      </w:r>
      <w:r>
        <w:t xml:space="preserve"> </w:t>
      </w:r>
      <w:r>
        <w:rPr>
          <w:rStyle w:val="VerbatimChar"/>
        </w:rPr>
        <w:t xml:space="preserve">TeXstudio</w:t>
      </w:r>
    </w:p>
    <w:bookmarkEnd w:id="93"/>
    <w:bookmarkStart w:id="94" w:name="vim-mit-vimtex"/>
    <w:p>
      <w:pPr>
        <w:pStyle w:val="Heading2"/>
      </w:pPr>
      <w:r>
        <w:rPr>
          <w:rStyle w:val="VerbatimChar"/>
        </w:rPr>
        <w:t xml:space="preserve">Vim</w:t>
      </w:r>
      <w:r>
        <w:t xml:space="preserve"> </w:t>
      </w:r>
      <w:r>
        <w:t xml:space="preserve">mit</w:t>
      </w:r>
      <w:r>
        <w:t xml:space="preserve"> </w:t>
      </w:r>
      <w:r>
        <w:rPr>
          <w:rStyle w:val="VerbatimChar"/>
        </w:rPr>
        <w:t xml:space="preserve">Vimtex</w:t>
      </w:r>
    </w:p>
    <w:p>
      <w:pPr>
        <w:numPr>
          <w:ilvl w:val="0"/>
          <w:numId w:val="1035"/>
        </w:numPr>
        <w:pStyle w:val="Compact"/>
      </w:pPr>
      <w:r>
        <w:t xml:space="preserve">Betriebssysteme: Linux, MS Windows, OS X, FreeBSD, …</w:t>
      </w:r>
      <w:r>
        <w:t xml:space="preserve"> </w:t>
      </w:r>
    </w:p>
    <w:p>
      <w:pPr>
        <w:numPr>
          <w:ilvl w:val="0"/>
          <w:numId w:val="1035"/>
        </w:numPr>
        <w:pStyle w:val="Compact"/>
      </w:pPr>
      <w:r>
        <w:t xml:space="preserve">Lizenz: Vim (Vim), MIT (vimtex)</w:t>
      </w:r>
    </w:p>
    <w:p>
      <w:pPr>
        <w:numPr>
          <w:ilvl w:val="0"/>
          <w:numId w:val="1035"/>
        </w:numPr>
        <w:pStyle w:val="Compact"/>
      </w:pPr>
      <w:r>
        <w:t xml:space="preserve">Syntax-Hervorhebung</w:t>
      </w:r>
    </w:p>
    <w:p>
      <w:pPr>
        <w:numPr>
          <w:ilvl w:val="0"/>
          <w:numId w:val="1035"/>
        </w:numPr>
        <w:pStyle w:val="Compact"/>
      </w:pPr>
      <w:r>
        <w:t xml:space="preserve">Auto-Vervollständigung</w:t>
      </w:r>
    </w:p>
    <w:p>
      <w:pPr>
        <w:numPr>
          <w:ilvl w:val="0"/>
          <w:numId w:val="1035"/>
        </w:numPr>
        <w:pStyle w:val="Compact"/>
      </w:pPr>
      <w:r>
        <w:t xml:space="preserve">Faltung von Code</w:t>
      </w:r>
    </w:p>
    <w:p>
      <w:pPr>
        <w:numPr>
          <w:ilvl w:val="0"/>
          <w:numId w:val="1035"/>
        </w:numPr>
        <w:pStyle w:val="Compact"/>
      </w:pPr>
      <w:r>
        <w:rPr>
          <w:rStyle w:val="VerbatimChar"/>
        </w:rPr>
        <w:t xml:space="preserve">SyncTeX</w:t>
      </w:r>
      <w:r>
        <w:t xml:space="preserve">, um von der Cursorposition in der TeX-Datei zur entsprechenden Position in der kompilierten pdf-Datei zu springen und umgekehrt.</w:t>
      </w:r>
    </w:p>
    <w:p>
      <w:pPr>
        <w:numPr>
          <w:ilvl w:val="0"/>
          <w:numId w:val="1035"/>
        </w:numPr>
        <w:pStyle w:val="Compact"/>
      </w:pPr>
      <w:r>
        <w:t xml:space="preserve">Referenzvorschau</w:t>
      </w:r>
    </w:p>
    <w:p>
      <w:pPr>
        <w:numPr>
          <w:ilvl w:val="0"/>
          <w:numId w:val="1035"/>
        </w:numPr>
        <w:pStyle w:val="Compact"/>
      </w:pPr>
      <w:r>
        <w:t xml:space="preserve">Rechtschreibprüfung</w:t>
      </w:r>
    </w:p>
    <w:p>
      <w:pPr>
        <w:numPr>
          <w:ilvl w:val="0"/>
          <w:numId w:val="1035"/>
        </w:numPr>
        <w:pStyle w:val="Compact"/>
      </w:pPr>
      <w:r>
        <w:t xml:space="preserve">Visualisierung mathematischer Symbole</w:t>
      </w:r>
    </w:p>
    <w:bookmarkEnd w:id="94"/>
    <w:bookmarkStart w:id="98" w:name="section-13"/>
    <w:p>
      <w:pPr>
        <w:pStyle w:val="Heading2"/>
      </w:pPr>
    </w:p>
    <w:p>
      <w:pPr>
        <w:pStyle w:val="CaptionedFigure"/>
      </w:pPr>
      <w:r>
        <w:drawing>
          <wp:inline>
            <wp:extent cx="5334000" cy="4537880"/>
            <wp:effectExtent b="0" l="0" r="0" t="0"/>
            <wp:docPr descr="Die Vimtex-Erweiterung im Vim-Editor" title="" id="96" name="Picture"/>
            <a:graphic>
              <a:graphicData uri="http://schemas.openxmlformats.org/drawingml/2006/picture">
                <pic:pic>
                  <pic:nvPicPr>
                    <pic:cNvPr descr="./images/vimtex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37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Die</w:t>
      </w:r>
      <w:r>
        <w:t xml:space="preserve"> </w:t>
      </w:r>
      <w:r>
        <w:rPr>
          <w:rStyle w:val="VerbatimChar"/>
        </w:rPr>
        <w:t xml:space="preserve">Vimtex</w:t>
      </w:r>
      <w:r>
        <w:t xml:space="preserve">-Erweiterung im Vim-Editor</w:t>
      </w:r>
    </w:p>
    <w:bookmarkEnd w:id="98"/>
    <w:bookmarkStart w:id="102" w:name="section-14"/>
    <w:p>
      <w:pPr>
        <w:pStyle w:val="Heading2"/>
      </w:pPr>
    </w:p>
    <w:p>
      <w:pPr>
        <w:pStyle w:val="CaptionedFigure"/>
      </w:pPr>
      <w:r>
        <w:drawing>
          <wp:inline>
            <wp:extent cx="5334000" cy="4189202"/>
            <wp:effectExtent b="0" l="0" r="0" t="0"/>
            <wp:docPr descr="Emacs mit AucTeX, das kompilierte Dokumentausschnitte in der Vorschau anzeigt!" title="" id="100" name="Picture"/>
            <a:graphic>
              <a:graphicData uri="http://schemas.openxmlformats.org/drawingml/2006/picture">
                <pic:pic>
                  <pic:nvPicPr>
                    <pic:cNvPr descr="./images/auctex.jp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892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Emacs mit AucTeX, das kompilierte Dokumentausschnitte in der Vorschau anzeigt!</w:t>
      </w:r>
    </w:p>
    <w:bookmarkEnd w:id="102"/>
    <w:bookmarkStart w:id="106" w:name="bibliographische-referenzen"/>
    <w:p>
      <w:pPr>
        <w:pStyle w:val="Heading2"/>
      </w:pPr>
      <w:r>
        <w:t xml:space="preserve">Bibliographische Referenzen</w:t>
      </w:r>
    </w:p>
    <w:bookmarkStart w:id="105" w:name="refs"/>
    <w:bookmarkStart w:id="104" w:name="ref-OPHS:latex-kurzbeschreibung"/>
    <w:p>
      <w:pPr>
        <w:pStyle w:val="Bibliography"/>
      </w:pPr>
      <w:r>
        <w:t xml:space="preserve">Oetiker, Tobias, Hubert Partl, Irene Hyna, und Elisabeth Schlegl. 1995.</w:t>
      </w:r>
      <w:r>
        <w:t xml:space="preserve"> </w:t>
      </w:r>
      <w:r>
        <w:t xml:space="preserve">„LATEX 2-Kurzbeschreibung“</w:t>
      </w:r>
      <w:r>
        <w:t xml:space="preserve">.</w:t>
      </w:r>
      <w:r>
        <w:t xml:space="preserve"> </w:t>
      </w:r>
      <w:r>
        <w:rPr>
          <w:iCs/>
          <w:i/>
        </w:rPr>
        <w:t xml:space="preserve">Betreut von Marco Daniel, Patrick Gundlach und Walter A. Schmidt</w:t>
      </w:r>
      <w:r>
        <w:t xml:space="preserve">.</w:t>
      </w:r>
      <w:r>
        <w:t xml:space="preserve"> </w:t>
      </w:r>
      <w:hyperlink r:id="rId103">
        <w:r>
          <w:rPr>
            <w:rStyle w:val="Hyperlink"/>
          </w:rPr>
          <w:t xml:space="preserve">http://mirrors.ctan.org/info/lshort/german/l2kurz.pdf</w:t>
        </w:r>
      </w:hyperlink>
      <w:r>
        <w:t xml:space="preserve">.</w:t>
      </w:r>
    </w:p>
    <w:bookmarkEnd w:id="104"/>
    <w:bookmarkEnd w:id="105"/>
    <w:bookmarkEnd w:id="106"/>
    <w:bookmarkEnd w:id="107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411">
    <w:nsid w:val="A9941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decimal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."/>
      <w:lvlJc w:val="left"/>
      <w:pPr>
        <w:ind w:left="3600" w:hanging="480"/>
      </w:pPr>
    </w:lvl>
    <w:lvl w:ilvl="5">
      <w:start w:val="1"/>
      <w:numFmt w:val="decimal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decimal"/>
      <w:lvlText w:val="%8."/>
      <w:lvlJc w:val="left"/>
      <w:pPr>
        <w:ind w:left="5760" w:hanging="480"/>
      </w:pPr>
    </w:lvl>
    <w:lvl w:ilvl="8">
      <w:start w:val="1"/>
      <w:numFmt w:val="decimal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000">
    <w:abstractNumId w:val="990"/>
  </w:num>
  <w:num w:numId="100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de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jc w:val="center"/>
      <w:spacing w:after="0" w:before="300"/>
    </w:pPr>
    <w:rPr>
      <w:sz w:val="20"/>
      <w:szCs w:val="20"/>
      <w:b/>
      <w:color w:val="345A8A"/>
      &gt;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color w:val="008000"/>
      <w:b/>
    </w:rPr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99" Target="media/rId99.jpg" /><Relationship Type="http://schemas.openxmlformats.org/officeDocument/2006/relationships/image" Id="rId81" Target="media/rId81.jpg" /><Relationship Type="http://schemas.openxmlformats.org/officeDocument/2006/relationships/image" Id="rId63" Target="media/rId63.png" /><Relationship Type="http://schemas.openxmlformats.org/officeDocument/2006/relationships/image" Id="rId35" Target="media/rId35.png" /><Relationship Type="http://schemas.openxmlformats.org/officeDocument/2006/relationships/image" Id="rId75" Target="media/rId75.png" /><Relationship Type="http://schemas.openxmlformats.org/officeDocument/2006/relationships/image" Id="rId30" Target="media/rId30.png" /><Relationship Type="http://schemas.openxmlformats.org/officeDocument/2006/relationships/image" Id="rId59" Target="media/rId59.png" /><Relationship Type="http://schemas.openxmlformats.org/officeDocument/2006/relationships/image" Id="rId39" Target="media/rId39.png" /><Relationship Type="http://schemas.openxmlformats.org/officeDocument/2006/relationships/image" Id="rId44" Target="media/rId44.png" /><Relationship Type="http://schemas.openxmlformats.org/officeDocument/2006/relationships/image" Id="rId90" Target="media/rId90.jpg" /><Relationship Type="http://schemas.openxmlformats.org/officeDocument/2006/relationships/image" Id="rId86" Target="media/rId86.jpg" /><Relationship Type="http://schemas.openxmlformats.org/officeDocument/2006/relationships/image" Id="rId95" Target="media/rId95.png" /><Relationship Type="http://schemas.openxmlformats.org/officeDocument/2006/relationships/image" Id="rId21" Target="media/rId21.png" /><Relationship Type="http://schemas.openxmlformats.org/officeDocument/2006/relationships/hyperlink" Id="rId66" Target="http://detexify.kirelabs.org/classify.html" TargetMode="External" /><Relationship Type="http://schemas.openxmlformats.org/officeDocument/2006/relationships/hyperlink" Id="rId103" Target="http://mirrors.ctan.org/info/lshort/german/l2kurz.pdf" TargetMode="External" /><Relationship Type="http://schemas.openxmlformats.org/officeDocument/2006/relationships/hyperlink" Id="rId33" Target="https://web2-unterricht.ch/windows-10/mathe-formeln-in-word/" TargetMode="External" /><Relationship Type="http://schemas.openxmlformats.org/officeDocument/2006/relationships/hyperlink" Id="rId20" Target="mailto:enno.nagel+code@gmail.com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66" Target="http://detexify.kirelabs.org/classify.html" TargetMode="External" /><Relationship Type="http://schemas.openxmlformats.org/officeDocument/2006/relationships/hyperlink" Id="rId103" Target="http://mirrors.ctan.org/info/lshort/german/l2kurz.pdf" TargetMode="External" /><Relationship Type="http://schemas.openxmlformats.org/officeDocument/2006/relationships/hyperlink" Id="rId33" Target="https://web2-unterricht.ch/windows-10/mathe-formeln-in-word/" TargetMode="External" /><Relationship Type="http://schemas.openxmlformats.org/officeDocument/2006/relationships/hyperlink" Id="rId20" Target="mailto:enno.nagel+code@gmail.com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vs. Latex vs. Markdown</dc:title>
  <dc:creator>Enno Nagel</dc:creator>
  <dc:language>de</dc:language>
  <cp:keywords/>
  <dcterms:created xsi:type="dcterms:W3CDTF">2023-04-20T13:44:09Z</dcterms:created>
  <dcterms:modified xsi:type="dcterms:W3CDTF">2023-04-20T13:44:09Z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oEqnLabels">
    <vt:lpwstr>False</vt:lpwstr>
  </property>
  <property fmtid="{D5CDD505-2E9C-101B-9397-08002B2CF9AE}" pid="3" name="autoSectionLabels">
    <vt:lpwstr>False</vt:lpwstr>
  </property>
  <property fmtid="{D5CDD505-2E9C-101B-9397-08002B2CF9AE}" pid="4" name="babel-lang">
    <vt:lpwstr>ngerman</vt:lpwstr>
  </property>
  <property fmtid="{D5CDD505-2E9C-101B-9397-08002B2CF9AE}" pid="5" name="bibliography">
    <vt:lpwstr>latex.bib</vt:lpwstr>
  </property>
  <property fmtid="{D5CDD505-2E9C-101B-9397-08002B2CF9AE}" pid="6" name="ccsDelim">
    <vt:lpwstr>, </vt:lpwstr>
  </property>
  <property fmtid="{D5CDD505-2E9C-101B-9397-08002B2CF9AE}" pid="7" name="ccsLabelSep">
    <vt:lpwstr> — </vt:lpwstr>
  </property>
  <property fmtid="{D5CDD505-2E9C-101B-9397-08002B2CF9AE}" pid="8" name="ccsTemplate">
    <vt:lpwstr>iccsLabelSept</vt:lpwstr>
  </property>
  <property fmtid="{D5CDD505-2E9C-101B-9397-08002B2CF9AE}" pid="9" name="chapDelim">
    <vt:lpwstr>.</vt:lpwstr>
  </property>
  <property fmtid="{D5CDD505-2E9C-101B-9397-08002B2CF9AE}" pid="10" name="chapters">
    <vt:lpwstr>False</vt:lpwstr>
  </property>
  <property fmtid="{D5CDD505-2E9C-101B-9397-08002B2CF9AE}" pid="11" name="chaptersDepth">
    <vt:lpwstr>1</vt:lpwstr>
  </property>
  <property fmtid="{D5CDD505-2E9C-101B-9397-08002B2CF9AE}" pid="12" name="citecolor">
    <vt:lpwstr>Sepia</vt:lpwstr>
  </property>
  <property fmtid="{D5CDD505-2E9C-101B-9397-08002B2CF9AE}" pid="13" name="classoption">
    <vt:lpwstr>final, DIV=calc, headings=normal, bibliography=totoc</vt:lpwstr>
  </property>
  <property fmtid="{D5CDD505-2E9C-101B-9397-08002B2CF9AE}" pid="14" name="codeBlockCaptions">
    <vt:lpwstr>False</vt:lpwstr>
  </property>
  <property fmtid="{D5CDD505-2E9C-101B-9397-08002B2CF9AE}" pid="15" name="cref">
    <vt:lpwstr>False</vt:lpwstr>
  </property>
  <property fmtid="{D5CDD505-2E9C-101B-9397-08002B2CF9AE}" pid="16" name="crossrefYaml">
    <vt:lpwstr>pandoc-crossref.yaml</vt:lpwstr>
  </property>
  <property fmtid="{D5CDD505-2E9C-101B-9397-08002B2CF9AE}" pid="17" name="date">
    <vt:lpwstr>Düsseldorf — 20. April 2023</vt:lpwstr>
  </property>
  <property fmtid="{D5CDD505-2E9C-101B-9397-08002B2CF9AE}" pid="18" name="documentclass">
    <vt:lpwstr>scrartcl</vt:lpwstr>
  </property>
  <property fmtid="{D5CDD505-2E9C-101B-9397-08002B2CF9AE}" pid="19" name="eqLabels">
    <vt:lpwstr>arabic</vt:lpwstr>
  </property>
  <property fmtid="{D5CDD505-2E9C-101B-9397-08002B2CF9AE}" pid="20" name="eqnBlockInlineMath">
    <vt:lpwstr>False</vt:lpwstr>
  </property>
  <property fmtid="{D5CDD505-2E9C-101B-9397-08002B2CF9AE}" pid="21" name="eqnBlockTemplate">
    <vt:lpwstr>ti</vt:lpwstr>
  </property>
  <property fmtid="{D5CDD505-2E9C-101B-9397-08002B2CF9AE}" pid="22" name="eqnIndexTemplate">
    <vt:lpwstr>(i)</vt:lpwstr>
  </property>
  <property fmtid="{D5CDD505-2E9C-101B-9397-08002B2CF9AE}" pid="23" name="eqnInlineTemplate">
    <vt:lpwstr>eequationNumberTeX{i}</vt:lpwstr>
  </property>
  <property fmtid="{D5CDD505-2E9C-101B-9397-08002B2CF9AE}" pid="24" name="eqnPrefix">
    <vt:lpwstr/>
  </property>
  <property fmtid="{D5CDD505-2E9C-101B-9397-08002B2CF9AE}" pid="25" name="eqnPrefixTemplate">
    <vt:lpwstr>p i</vt:lpwstr>
  </property>
  <property fmtid="{D5CDD505-2E9C-101B-9397-08002B2CF9AE}" pid="26" name="equationNumberTeX">
    <vt:lpwstr>\qquad</vt:lpwstr>
  </property>
  <property fmtid="{D5CDD505-2E9C-101B-9397-08002B2CF9AE}" pid="27" name="figLabels">
    <vt:lpwstr>arabic</vt:lpwstr>
  </property>
  <property fmtid="{D5CDD505-2E9C-101B-9397-08002B2CF9AE}" pid="28" name="figPrefix">
    <vt:lpwstr/>
  </property>
  <property fmtid="{D5CDD505-2E9C-101B-9397-08002B2CF9AE}" pid="29" name="figPrefixTemplate">
    <vt:lpwstr>p i</vt:lpwstr>
  </property>
  <property fmtid="{D5CDD505-2E9C-101B-9397-08002B2CF9AE}" pid="30" name="figureTemplate">
    <vt:lpwstr>figureTitle ititleDelim t</vt:lpwstr>
  </property>
  <property fmtid="{D5CDD505-2E9C-101B-9397-08002B2CF9AE}" pid="31" name="figureTitle">
    <vt:lpwstr>Figure</vt:lpwstr>
  </property>
  <property fmtid="{D5CDD505-2E9C-101B-9397-08002B2CF9AE}" pid="32" name="fontsize">
    <vt:lpwstr>12pt</vt:lpwstr>
  </property>
  <property fmtid="{D5CDD505-2E9C-101B-9397-08002B2CF9AE}" pid="33" name="header-includes">
    <vt:lpwstr/>
  </property>
  <property fmtid="{D5CDD505-2E9C-101B-9397-08002B2CF9AE}" pid="34" name="indent">
    <vt:lpwstr>False</vt:lpwstr>
  </property>
  <property fmtid="{D5CDD505-2E9C-101B-9397-08002B2CF9AE}" pid="35" name="lastDelim">
    <vt:lpwstr>, </vt:lpwstr>
  </property>
  <property fmtid="{D5CDD505-2E9C-101B-9397-08002B2CF9AE}" pid="36" name="linkReferences">
    <vt:lpwstr>False</vt:lpwstr>
  </property>
  <property fmtid="{D5CDD505-2E9C-101B-9397-08002B2CF9AE}" pid="37" name="linkcolor">
    <vt:lpwstr>Sepia</vt:lpwstr>
  </property>
  <property fmtid="{D5CDD505-2E9C-101B-9397-08002B2CF9AE}" pid="38" name="listItemTitleDelim">
    <vt:lpwstr>.</vt:lpwstr>
  </property>
  <property fmtid="{D5CDD505-2E9C-101B-9397-08002B2CF9AE}" pid="39" name="listingTemplate">
    <vt:lpwstr>listingTitle ititleDelim t</vt:lpwstr>
  </property>
  <property fmtid="{D5CDD505-2E9C-101B-9397-08002B2CF9AE}" pid="40" name="listingTitle">
    <vt:lpwstr>Listing</vt:lpwstr>
  </property>
  <property fmtid="{D5CDD505-2E9C-101B-9397-08002B2CF9AE}" pid="41" name="listings">
    <vt:lpwstr>False</vt:lpwstr>
  </property>
  <property fmtid="{D5CDD505-2E9C-101B-9397-08002B2CF9AE}" pid="42" name="lofItemTemplate">
    <vt:lpwstr>lofItemTitleilistItemTitleDelimt </vt:lpwstr>
  </property>
  <property fmtid="{D5CDD505-2E9C-101B-9397-08002B2CF9AE}" pid="43" name="lofItemTitle">
    <vt:lpwstr/>
  </property>
  <property fmtid="{D5CDD505-2E9C-101B-9397-08002B2CF9AE}" pid="44" name="lofTitle">
    <vt:lpwstr>List of Figures</vt:lpwstr>
  </property>
  <property fmtid="{D5CDD505-2E9C-101B-9397-08002B2CF9AE}" pid="45" name="lolItemTemplate">
    <vt:lpwstr>lolItemTitleilistItemTitleDelimt </vt:lpwstr>
  </property>
  <property fmtid="{D5CDD505-2E9C-101B-9397-08002B2CF9AE}" pid="46" name="lolItemTitle">
    <vt:lpwstr/>
  </property>
  <property fmtid="{D5CDD505-2E9C-101B-9397-08002B2CF9AE}" pid="47" name="lolTitle">
    <vt:lpwstr>List of Listings</vt:lpwstr>
  </property>
  <property fmtid="{D5CDD505-2E9C-101B-9397-08002B2CF9AE}" pid="48" name="lotItemTemplate">
    <vt:lpwstr>lotItemTitleilistItemTitleDelimt </vt:lpwstr>
  </property>
  <property fmtid="{D5CDD505-2E9C-101B-9397-08002B2CF9AE}" pid="49" name="lotItemTitle">
    <vt:lpwstr/>
  </property>
  <property fmtid="{D5CDD505-2E9C-101B-9397-08002B2CF9AE}" pid="50" name="lotTitle">
    <vt:lpwstr>List of Tables</vt:lpwstr>
  </property>
  <property fmtid="{D5CDD505-2E9C-101B-9397-08002B2CF9AE}" pid="51" name="lstLabels">
    <vt:lpwstr>arabic</vt:lpwstr>
  </property>
  <property fmtid="{D5CDD505-2E9C-101B-9397-08002B2CF9AE}" pid="52" name="lstPrefix">
    <vt:lpwstr/>
  </property>
  <property fmtid="{D5CDD505-2E9C-101B-9397-08002B2CF9AE}" pid="53" name="lstPrefixTemplate">
    <vt:lpwstr>p i</vt:lpwstr>
  </property>
  <property fmtid="{D5CDD505-2E9C-101B-9397-08002B2CF9AE}" pid="54" name="nameInLink">
    <vt:lpwstr>False</vt:lpwstr>
  </property>
  <property fmtid="{D5CDD505-2E9C-101B-9397-08002B2CF9AE}" pid="55" name="numberSections">
    <vt:lpwstr>False</vt:lpwstr>
  </property>
  <property fmtid="{D5CDD505-2E9C-101B-9397-08002B2CF9AE}" pid="56" name="numbersections">
    <vt:lpwstr>True</vt:lpwstr>
  </property>
  <property fmtid="{D5CDD505-2E9C-101B-9397-08002B2CF9AE}" pid="57" name="pairDelim">
    <vt:lpwstr>, </vt:lpwstr>
  </property>
  <property fmtid="{D5CDD505-2E9C-101B-9397-08002B2CF9AE}" pid="58" name="rangeDelim">
    <vt:lpwstr>-</vt:lpwstr>
  </property>
  <property fmtid="{D5CDD505-2E9C-101B-9397-08002B2CF9AE}" pid="59" name="refDelim">
    <vt:lpwstr>, </vt:lpwstr>
  </property>
  <property fmtid="{D5CDD505-2E9C-101B-9397-08002B2CF9AE}" pid="60" name="refIndexTemplate">
    <vt:lpwstr>isuf</vt:lpwstr>
  </property>
  <property fmtid="{D5CDD505-2E9C-101B-9397-08002B2CF9AE}" pid="61" name="secHeaderDelim">
    <vt:lpwstr> </vt:lpwstr>
  </property>
  <property fmtid="{D5CDD505-2E9C-101B-9397-08002B2CF9AE}" pid="62" name="secHeaderTemplate">
    <vt:lpwstr>isecHeaderDelim[n]t</vt:lpwstr>
  </property>
  <property fmtid="{D5CDD505-2E9C-101B-9397-08002B2CF9AE}" pid="63" name="secLabels">
    <vt:lpwstr>arabic</vt:lpwstr>
  </property>
  <property fmtid="{D5CDD505-2E9C-101B-9397-08002B2CF9AE}" pid="64" name="secPrefix">
    <vt:lpwstr/>
  </property>
  <property fmtid="{D5CDD505-2E9C-101B-9397-08002B2CF9AE}" pid="65" name="secPrefixTemplate">
    <vt:lpwstr>p i</vt:lpwstr>
  </property>
  <property fmtid="{D5CDD505-2E9C-101B-9397-08002B2CF9AE}" pid="66" name="secnumdepth">
    <vt:lpwstr>1</vt:lpwstr>
  </property>
  <property fmtid="{D5CDD505-2E9C-101B-9397-08002B2CF9AE}" pid="67" name="sectionsDepth">
    <vt:lpwstr>0</vt:lpwstr>
  </property>
  <property fmtid="{D5CDD505-2E9C-101B-9397-08002B2CF9AE}" pid="68" name="subfigGrid">
    <vt:lpwstr>False</vt:lpwstr>
  </property>
  <property fmtid="{D5CDD505-2E9C-101B-9397-08002B2CF9AE}" pid="69" name="subfigLabels">
    <vt:lpwstr>alpha a</vt:lpwstr>
  </property>
  <property fmtid="{D5CDD505-2E9C-101B-9397-08002B2CF9AE}" pid="70" name="subfigureChildTemplate">
    <vt:lpwstr>i</vt:lpwstr>
  </property>
  <property fmtid="{D5CDD505-2E9C-101B-9397-08002B2CF9AE}" pid="71" name="subfigureRefIndexTemplate">
    <vt:lpwstr>isuf (s)</vt:lpwstr>
  </property>
  <property fmtid="{D5CDD505-2E9C-101B-9397-08002B2CF9AE}" pid="72" name="subfigureTemplate">
    <vt:lpwstr>figureTitle ititleDelim t. ccs</vt:lpwstr>
  </property>
  <property fmtid="{D5CDD505-2E9C-101B-9397-08002B2CF9AE}" pid="73" name="subtitle">
    <vt:lpwstr>Was ist LaTeX? Nützt es mir? Falls ja, wie bediene ich es?</vt:lpwstr>
  </property>
  <property fmtid="{D5CDD505-2E9C-101B-9397-08002B2CF9AE}" pid="74" name="tableEqns">
    <vt:lpwstr>False</vt:lpwstr>
  </property>
  <property fmtid="{D5CDD505-2E9C-101B-9397-08002B2CF9AE}" pid="75" name="tableTemplate">
    <vt:lpwstr>tableTitle ititleDelim t</vt:lpwstr>
  </property>
  <property fmtid="{D5CDD505-2E9C-101B-9397-08002B2CF9AE}" pid="76" name="tableTitle">
    <vt:lpwstr>Table</vt:lpwstr>
  </property>
  <property fmtid="{D5CDD505-2E9C-101B-9397-08002B2CF9AE}" pid="77" name="tblLabels">
    <vt:lpwstr>arabic</vt:lpwstr>
  </property>
  <property fmtid="{D5CDD505-2E9C-101B-9397-08002B2CF9AE}" pid="78" name="tblPrefix">
    <vt:lpwstr/>
  </property>
  <property fmtid="{D5CDD505-2E9C-101B-9397-08002B2CF9AE}" pid="79" name="tblPrefixTemplate">
    <vt:lpwstr>p i</vt:lpwstr>
  </property>
  <property fmtid="{D5CDD505-2E9C-101B-9397-08002B2CF9AE}" pid="80" name="titleDelim">
    <vt:lpwstr>:</vt:lpwstr>
  </property>
  <property fmtid="{D5CDD505-2E9C-101B-9397-08002B2CF9AE}" pid="81" name="toc">
    <vt:lpwstr>True</vt:lpwstr>
  </property>
  <property fmtid="{D5CDD505-2E9C-101B-9397-08002B2CF9AE}" pid="82" name="toc-depth">
    <vt:lpwstr>2</vt:lpwstr>
  </property>
  <property fmtid="{D5CDD505-2E9C-101B-9397-08002B2CF9AE}" pid="83" name="urlcolor">
    <vt:lpwstr>Sepia</vt:lpwstr>
  </property>
</Properties>
</file>